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73C8E" w14:textId="77777777" w:rsidR="00C738FA" w:rsidRDefault="00C738FA" w:rsidP="00C738FA">
      <w:r w:rsidRPr="0064333C">
        <w:rPr>
          <w:noProof/>
        </w:rPr>
        <w:drawing>
          <wp:inline distT="0" distB="0" distL="0" distR="0" wp14:anchorId="30CDA007" wp14:editId="5B80F06D">
            <wp:extent cx="2560955" cy="750752"/>
            <wp:effectExtent l="0" t="0" r="0" b="0"/>
            <wp:docPr id="100418027"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713392" name="Picture 1" descr="A blue text on a white background&#10;&#10;Description automatically generated"/>
                    <pic:cNvPicPr/>
                  </pic:nvPicPr>
                  <pic:blipFill>
                    <a:blip r:embed="rId10"/>
                    <a:stretch>
                      <a:fillRect/>
                    </a:stretch>
                  </pic:blipFill>
                  <pic:spPr>
                    <a:xfrm>
                      <a:off x="0" y="0"/>
                      <a:ext cx="2598521" cy="761765"/>
                    </a:xfrm>
                    <a:prstGeom prst="rect">
                      <a:avLst/>
                    </a:prstGeom>
                  </pic:spPr>
                </pic:pic>
              </a:graphicData>
            </a:graphic>
          </wp:inline>
        </w:drawing>
      </w:r>
    </w:p>
    <w:p w14:paraId="5AE7BA27" w14:textId="63F30385" w:rsidR="00703680" w:rsidRDefault="00703680" w:rsidP="00C738FA">
      <w:pPr>
        <w:jc w:val="right"/>
      </w:pPr>
      <w:hyperlink r:id="rId11" w:history="1">
        <w:r w:rsidRPr="00E02D1D">
          <w:rPr>
            <w:rStyle w:val="Hyperlink"/>
          </w:rPr>
          <w:t>Martin.hurst@sustainabilityfirst.org.uk</w:t>
        </w:r>
      </w:hyperlink>
    </w:p>
    <w:p w14:paraId="7FEAC5C9" w14:textId="6DEDE7EF" w:rsidR="00C738FA" w:rsidRDefault="00C738FA" w:rsidP="00C738FA">
      <w:pPr>
        <w:jc w:val="right"/>
      </w:pPr>
      <w:hyperlink r:id="rId12" w:history="1">
        <w:r w:rsidRPr="00D52348">
          <w:rPr>
            <w:rStyle w:val="Hyperlink"/>
          </w:rPr>
          <w:t>Maxine.frerk@sustainabilityfirst.org.uk</w:t>
        </w:r>
      </w:hyperlink>
    </w:p>
    <w:p w14:paraId="1C64A05F" w14:textId="1A36EF43" w:rsidR="00C738FA" w:rsidRDefault="00613E01" w:rsidP="00C738FA">
      <w:pPr>
        <w:jc w:val="right"/>
      </w:pPr>
      <w:r>
        <w:t>26</w:t>
      </w:r>
      <w:r w:rsidR="00C738FA">
        <w:t xml:space="preserve"> August 2025</w:t>
      </w:r>
    </w:p>
    <w:p w14:paraId="5B692B69" w14:textId="25DD65B3" w:rsidR="00C738FA" w:rsidRDefault="00C738FA" w:rsidP="00C738FA">
      <w:r>
        <w:t xml:space="preserve">To: </w:t>
      </w:r>
      <w:hyperlink r:id="rId13" w:history="1">
        <w:r w:rsidR="001F4513" w:rsidRPr="00E02D1D">
          <w:rPr>
            <w:rStyle w:val="Hyperlink"/>
          </w:rPr>
          <w:t>riio3@ofgem.gov.uk</w:t>
        </w:r>
      </w:hyperlink>
    </w:p>
    <w:p w14:paraId="6CB33F3F" w14:textId="5ABA506A" w:rsidR="00C738FA" w:rsidRPr="00EF38BE" w:rsidRDefault="00C738FA" w:rsidP="00C738FA">
      <w:pPr>
        <w:rPr>
          <w:b/>
          <w:bCs/>
          <w:sz w:val="24"/>
          <w:szCs w:val="24"/>
          <w:u w:val="single"/>
        </w:rPr>
      </w:pPr>
      <w:r w:rsidRPr="00EF38BE">
        <w:rPr>
          <w:b/>
          <w:bCs/>
          <w:sz w:val="24"/>
          <w:szCs w:val="24"/>
          <w:u w:val="single"/>
        </w:rPr>
        <w:t>Ofgem Draft Determinations – Response to Consulta</w:t>
      </w:r>
      <w:r>
        <w:rPr>
          <w:b/>
          <w:bCs/>
          <w:sz w:val="24"/>
          <w:szCs w:val="24"/>
          <w:u w:val="single"/>
        </w:rPr>
        <w:t>t</w:t>
      </w:r>
      <w:r w:rsidRPr="00EF38BE">
        <w:rPr>
          <w:b/>
          <w:bCs/>
          <w:sz w:val="24"/>
          <w:szCs w:val="24"/>
          <w:u w:val="single"/>
        </w:rPr>
        <w:t>ion</w:t>
      </w:r>
      <w:r>
        <w:rPr>
          <w:b/>
          <w:bCs/>
          <w:sz w:val="24"/>
          <w:szCs w:val="24"/>
          <w:u w:val="single"/>
        </w:rPr>
        <w:t xml:space="preserve"> (</w:t>
      </w:r>
      <w:r w:rsidR="00690A75">
        <w:rPr>
          <w:b/>
          <w:bCs/>
          <w:sz w:val="24"/>
          <w:szCs w:val="24"/>
          <w:u w:val="single"/>
        </w:rPr>
        <w:t>Electricity</w:t>
      </w:r>
      <w:r w:rsidR="007958CC">
        <w:rPr>
          <w:b/>
          <w:bCs/>
          <w:sz w:val="24"/>
          <w:szCs w:val="24"/>
          <w:u w:val="single"/>
        </w:rPr>
        <w:t xml:space="preserve"> Transmission</w:t>
      </w:r>
      <w:r>
        <w:rPr>
          <w:b/>
          <w:bCs/>
          <w:sz w:val="24"/>
          <w:szCs w:val="24"/>
          <w:u w:val="single"/>
        </w:rPr>
        <w:t>)</w:t>
      </w:r>
    </w:p>
    <w:p w14:paraId="338E4781" w14:textId="77777777" w:rsidR="00C738FA" w:rsidRPr="00EF38BE" w:rsidRDefault="00C738FA" w:rsidP="00C738FA">
      <w:r w:rsidRPr="00EF38BE">
        <w:t>Dear Ofgem</w:t>
      </w:r>
      <w:r>
        <w:t>,</w:t>
      </w:r>
    </w:p>
    <w:p w14:paraId="7459DDD3" w14:textId="4F0937C6" w:rsidR="00C738FA" w:rsidRDefault="00C738FA" w:rsidP="00C738FA">
      <w:r>
        <w:t xml:space="preserve">Sustainability First is a charity and think tank focused on social and environmental issues in the energy and water sectors with a record of engagement on </w:t>
      </w:r>
      <w:r w:rsidR="0053613D">
        <w:t xml:space="preserve">policy and </w:t>
      </w:r>
      <w:r>
        <w:t>regulatory issues, including as past members of Ofgem’s RIIO-2 Challenge Group.</w:t>
      </w:r>
    </w:p>
    <w:p w14:paraId="4FDF42B3" w14:textId="62741A58" w:rsidR="00AF7DB3" w:rsidRDefault="00703680" w:rsidP="00C738FA">
      <w:r>
        <w:t>In this response we set out our answer</w:t>
      </w:r>
      <w:r w:rsidR="001D7F7A">
        <w:t>s</w:t>
      </w:r>
      <w:r>
        <w:t xml:space="preserve"> to </w:t>
      </w:r>
      <w:r w:rsidR="001D7F7A">
        <w:t xml:space="preserve">the questions relating to </w:t>
      </w:r>
      <w:r>
        <w:t xml:space="preserve">specific areas </w:t>
      </w:r>
      <w:r w:rsidR="000C0994">
        <w:t>of interest to us in ET3</w:t>
      </w:r>
      <w:r w:rsidR="001D7F7A">
        <w:t>,</w:t>
      </w:r>
      <w:r w:rsidR="000C0994">
        <w:t xml:space="preserve"> building on our past work</w:t>
      </w:r>
      <w:r w:rsidR="00AF7DB3">
        <w:t>:</w:t>
      </w:r>
    </w:p>
    <w:p w14:paraId="4AA1CADF" w14:textId="576A312E" w:rsidR="00C27111" w:rsidRDefault="00AF7DB3" w:rsidP="00C738FA">
      <w:r>
        <w:t>-</w:t>
      </w:r>
      <w:r w:rsidR="00F82BED">
        <w:t xml:space="preserve"> on </w:t>
      </w:r>
      <w:r w:rsidR="00F82BED" w:rsidRPr="00625B34">
        <w:rPr>
          <w:b/>
          <w:bCs/>
        </w:rPr>
        <w:t>SF6</w:t>
      </w:r>
      <w:r w:rsidR="00F82BED">
        <w:t xml:space="preserve"> as a highly potent greenhouse gas, </w:t>
      </w:r>
      <w:r>
        <w:t xml:space="preserve">we are broadly supportive of Ofgem’s </w:t>
      </w:r>
      <w:r w:rsidR="00C27111">
        <w:t>proposals</w:t>
      </w:r>
      <w:r w:rsidR="0006389D">
        <w:t xml:space="preserve"> which we see as </w:t>
      </w:r>
      <w:r w:rsidR="00590FA9">
        <w:t>drawing</w:t>
      </w:r>
      <w:r w:rsidR="00EA5E24">
        <w:t>,</w:t>
      </w:r>
      <w:r w:rsidR="00590FA9">
        <w:t xml:space="preserve"> in places</w:t>
      </w:r>
      <w:r w:rsidR="00EA5E24">
        <w:t>,</w:t>
      </w:r>
      <w:r w:rsidR="00590FA9">
        <w:t xml:space="preserve"> </w:t>
      </w:r>
      <w:r w:rsidR="002D4441">
        <w:t>on</w:t>
      </w:r>
      <w:r w:rsidR="00590FA9">
        <w:t xml:space="preserve"> </w:t>
      </w:r>
      <w:r w:rsidR="006264A3">
        <w:t>the Grid Edge Policy “</w:t>
      </w:r>
      <w:hyperlink r:id="rId14" w:history="1">
        <w:r w:rsidR="006264A3" w:rsidRPr="002F4E9C">
          <w:rPr>
            <w:rStyle w:val="Hyperlink"/>
          </w:rPr>
          <w:t>Green Grids</w:t>
        </w:r>
      </w:hyperlink>
      <w:r w:rsidR="006264A3">
        <w:t>”</w:t>
      </w:r>
      <w:r w:rsidR="00590FA9">
        <w:t xml:space="preserve"> Report </w:t>
      </w:r>
      <w:r w:rsidR="00077507">
        <w:t xml:space="preserve">that Sustainability First </w:t>
      </w:r>
      <w:r w:rsidR="002D4441">
        <w:t>supported</w:t>
      </w:r>
      <w:r w:rsidR="00077507">
        <w:t>;</w:t>
      </w:r>
    </w:p>
    <w:p w14:paraId="369FF02C" w14:textId="4156529E" w:rsidR="00C738FA" w:rsidRDefault="00717C0E" w:rsidP="00C738FA">
      <w:r>
        <w:t xml:space="preserve">- </w:t>
      </w:r>
      <w:r w:rsidR="00F82BED">
        <w:t>on</w:t>
      </w:r>
      <w:r w:rsidR="00C40900">
        <w:t xml:space="preserve"> </w:t>
      </w:r>
      <w:r w:rsidR="00C40900" w:rsidRPr="00625B34">
        <w:rPr>
          <w:b/>
          <w:bCs/>
        </w:rPr>
        <w:t>losses</w:t>
      </w:r>
      <w:r w:rsidR="00C27111">
        <w:t xml:space="preserve">, </w:t>
      </w:r>
      <w:r w:rsidR="00734568">
        <w:t xml:space="preserve">we welcome Ofgem’s </w:t>
      </w:r>
      <w:r w:rsidR="00494E76">
        <w:t xml:space="preserve">acknowledgment of the importance of the issue </w:t>
      </w:r>
      <w:r w:rsidR="008617DC">
        <w:t xml:space="preserve">and its criticism of </w:t>
      </w:r>
      <w:r w:rsidR="004A76D0">
        <w:t xml:space="preserve">how this </w:t>
      </w:r>
      <w:proofErr w:type="gramStart"/>
      <w:r w:rsidR="004A76D0">
        <w:t>is dealt</w:t>
      </w:r>
      <w:proofErr w:type="gramEnd"/>
      <w:r w:rsidR="004A76D0">
        <w:t xml:space="preserve"> with in the company business plans. We </w:t>
      </w:r>
      <w:r w:rsidR="00147BB4">
        <w:t>urge</w:t>
      </w:r>
      <w:r w:rsidR="004A76D0">
        <w:t xml:space="preserve"> Ofgem to </w:t>
      </w:r>
      <w:r w:rsidR="0026674F">
        <w:t>take steps</w:t>
      </w:r>
      <w:r w:rsidR="00147BB4">
        <w:t xml:space="preserve"> to drive a stronger focus on this issue in ET3</w:t>
      </w:r>
      <w:r w:rsidR="00397556">
        <w:t>;</w:t>
      </w:r>
    </w:p>
    <w:p w14:paraId="76C7E50B" w14:textId="42789ADA" w:rsidR="00717C0E" w:rsidRDefault="00717C0E" w:rsidP="00C738FA">
      <w:r>
        <w:t xml:space="preserve">- and on </w:t>
      </w:r>
      <w:r w:rsidRPr="00625B34">
        <w:rPr>
          <w:b/>
          <w:bCs/>
        </w:rPr>
        <w:t>biodiversity</w:t>
      </w:r>
      <w:r w:rsidR="006A3AB8">
        <w:t xml:space="preserve">, </w:t>
      </w:r>
      <w:r>
        <w:t xml:space="preserve">we disagree with Ofgem’s position that </w:t>
      </w:r>
      <w:r w:rsidR="0007365E">
        <w:t xml:space="preserve">customers should not pay for </w:t>
      </w:r>
      <w:r>
        <w:t xml:space="preserve">companies </w:t>
      </w:r>
      <w:r w:rsidR="0007365E">
        <w:t>to</w:t>
      </w:r>
      <w:r>
        <w:t xml:space="preserve"> go beyond the legal minimum</w:t>
      </w:r>
      <w:r w:rsidRPr="005575D1">
        <w:t>.</w:t>
      </w:r>
      <w:r w:rsidR="00397556" w:rsidRPr="005575D1">
        <w:t xml:space="preserve"> </w:t>
      </w:r>
      <w:r w:rsidR="00B00AAB">
        <w:t>In addition to answers to consultation questions, below, w</w:t>
      </w:r>
      <w:r w:rsidR="005575D1">
        <w:t>e attach to this response links to a more detailed note and slide deck, setting out the legal requirements on Ofgem, along with evidence of consumer support for spend on biodiversity and the business and consumer case for such spend.</w:t>
      </w:r>
      <w:r w:rsidR="00B00AAB">
        <w:t xml:space="preserve"> </w:t>
      </w:r>
      <w:r w:rsidR="005575D1">
        <w:t xml:space="preserve">Recognising that this is understandably not an area of expertise in Ofgem we would be happy to discuss further. </w:t>
      </w:r>
    </w:p>
    <w:p w14:paraId="67B23A05" w14:textId="6B0CA283" w:rsidR="00717C0E" w:rsidRDefault="00717C0E" w:rsidP="00C738FA">
      <w:r>
        <w:t xml:space="preserve">We have separately submitted a response covering gas distribution (and </w:t>
      </w:r>
      <w:proofErr w:type="gramStart"/>
      <w:r w:rsidR="00AE75F9">
        <w:t>some</w:t>
      </w:r>
      <w:proofErr w:type="gramEnd"/>
      <w:r w:rsidR="00AE75F9">
        <w:t xml:space="preserve"> elements on gas transmission). This includes </w:t>
      </w:r>
      <w:proofErr w:type="gramStart"/>
      <w:r w:rsidR="00AE75F9">
        <w:t>some</w:t>
      </w:r>
      <w:proofErr w:type="gramEnd"/>
      <w:r w:rsidR="00AE75F9">
        <w:t xml:space="preserve"> </w:t>
      </w:r>
      <w:r w:rsidR="00BC4561">
        <w:t>points</w:t>
      </w:r>
      <w:r w:rsidR="00AE75F9">
        <w:t xml:space="preserve"> </w:t>
      </w:r>
      <w:r w:rsidR="006223D8">
        <w:t xml:space="preserve">- </w:t>
      </w:r>
      <w:r w:rsidR="00AE75F9">
        <w:t xml:space="preserve">such as </w:t>
      </w:r>
      <w:r w:rsidR="00BC4561">
        <w:t xml:space="preserve">our </w:t>
      </w:r>
      <w:r w:rsidR="00AE75F9">
        <w:t xml:space="preserve">support for </w:t>
      </w:r>
      <w:r w:rsidR="009C436F">
        <w:t xml:space="preserve">an enduring role for </w:t>
      </w:r>
      <w:r w:rsidR="00AE75F9">
        <w:t>the ISGs and a concern about reliance on reputational incentives</w:t>
      </w:r>
      <w:r w:rsidR="004655E5">
        <w:t xml:space="preserve"> for delivery of the EAPs </w:t>
      </w:r>
      <w:r w:rsidR="006223D8">
        <w:t xml:space="preserve">- </w:t>
      </w:r>
      <w:r w:rsidR="004655E5">
        <w:t>that are also relevant to electricity transmission.</w:t>
      </w:r>
    </w:p>
    <w:p w14:paraId="1EA81CD4" w14:textId="27464D89" w:rsidR="004655E5" w:rsidRDefault="004655E5" w:rsidP="00C738FA">
      <w:r>
        <w:t>Yours fai</w:t>
      </w:r>
      <w:r w:rsidR="005575D1">
        <w:t>t</w:t>
      </w:r>
      <w:r>
        <w:t>hfully,</w:t>
      </w:r>
    </w:p>
    <w:p w14:paraId="2B8F3588" w14:textId="77777777" w:rsidR="004655E5" w:rsidRDefault="004655E5" w:rsidP="00C738FA"/>
    <w:p w14:paraId="5ADBACD2" w14:textId="68764FFE" w:rsidR="004655E5" w:rsidRDefault="004655E5" w:rsidP="00C738FA">
      <w:r>
        <w:t>Martin Hurst, Associate</w:t>
      </w:r>
    </w:p>
    <w:p w14:paraId="5B9CBB06" w14:textId="2E655805" w:rsidR="004655E5" w:rsidRDefault="004655E5" w:rsidP="00C738FA">
      <w:r>
        <w:t>Maxine Frerk, Associate</w:t>
      </w:r>
    </w:p>
    <w:p w14:paraId="567CE392" w14:textId="6F4AC2D4" w:rsidR="004655E5" w:rsidRDefault="004655E5" w:rsidP="00C738FA">
      <w:r>
        <w:t>Cc Judith Ward, Associate</w:t>
      </w:r>
    </w:p>
    <w:p w14:paraId="70F8A738" w14:textId="77777777" w:rsidR="005C1A11" w:rsidRDefault="005C1A11" w:rsidP="00C738FA"/>
    <w:p w14:paraId="17D48044" w14:textId="77777777" w:rsidR="00C738FA" w:rsidRDefault="00C738FA" w:rsidP="00C738FA"/>
    <w:p w14:paraId="76ECCE2F" w14:textId="05CBAF88" w:rsidR="00C738FA" w:rsidRPr="004655E5" w:rsidRDefault="004655E5" w:rsidP="00C738FA">
      <w:pPr>
        <w:rPr>
          <w:b/>
          <w:bCs/>
        </w:rPr>
      </w:pPr>
      <w:r w:rsidRPr="004655E5">
        <w:rPr>
          <w:b/>
          <w:bCs/>
        </w:rPr>
        <w:t>Ofgem Questions Electricity Transmission</w:t>
      </w:r>
    </w:p>
    <w:p w14:paraId="75AEDBCE" w14:textId="77777777" w:rsidR="00C738FA" w:rsidRPr="00FF7AAE" w:rsidRDefault="00C738FA" w:rsidP="00C738FA">
      <w:pPr>
        <w:rPr>
          <w:b/>
          <w:bCs/>
        </w:rPr>
      </w:pPr>
      <w:r w:rsidRPr="00FF7AAE">
        <w:rPr>
          <w:b/>
          <w:bCs/>
        </w:rPr>
        <w:t xml:space="preserve">ETQ8. Do you agree with our proposed design of the Community Benefit Funding pass-through mechanism? </w:t>
      </w:r>
    </w:p>
    <w:p w14:paraId="72F06560" w14:textId="548E849E" w:rsidR="00EF5C3D" w:rsidRDefault="00EF5C3D" w:rsidP="00C738FA">
      <w:r>
        <w:t xml:space="preserve">Sustainability First are strong advocates of </w:t>
      </w:r>
      <w:r w:rsidR="00495CCD">
        <w:t xml:space="preserve">Community Benefit </w:t>
      </w:r>
      <w:r w:rsidR="00A558F3">
        <w:t xml:space="preserve">Funding </w:t>
      </w:r>
      <w:r w:rsidR="00495CCD">
        <w:t>a</w:t>
      </w:r>
      <w:r w:rsidR="00460C13">
        <w:t xml:space="preserve">s a key part of </w:t>
      </w:r>
      <w:r w:rsidR="0005683A">
        <w:t>empowering communities as we decarbonise our grid</w:t>
      </w:r>
      <w:r w:rsidR="00D24BDD">
        <w:t xml:space="preserve">. </w:t>
      </w:r>
      <w:r w:rsidR="003A622F">
        <w:t>Our blog commenting on the DESNZ proposals</w:t>
      </w:r>
      <w:r w:rsidR="009551F8">
        <w:rPr>
          <w:rStyle w:val="FootnoteReference"/>
        </w:rPr>
        <w:footnoteReference w:id="1"/>
      </w:r>
      <w:r w:rsidR="003A622F">
        <w:t xml:space="preserve"> highlights t</w:t>
      </w:r>
      <w:r w:rsidR="00A558F3">
        <w:t>h</w:t>
      </w:r>
      <w:r w:rsidR="003A622F">
        <w:t>e importance of taking communities on the journey</w:t>
      </w:r>
      <w:r w:rsidR="009551F8">
        <w:t>. As a part of this,</w:t>
      </w:r>
      <w:r w:rsidR="007D35F4">
        <w:t xml:space="preserve"> </w:t>
      </w:r>
      <w:r w:rsidR="007D35F4" w:rsidRPr="007D35F4">
        <w:t>Sustainability First is working in partnership with the European Climate Foundation and The Local Storytelling Exchange to develop best practice guidance for electricity Transmission Operators on effective community engagement.</w:t>
      </w:r>
    </w:p>
    <w:p w14:paraId="3D499C55" w14:textId="3459D7CD" w:rsidR="00224B2D" w:rsidRDefault="00505DDB" w:rsidP="00C738FA">
      <w:r>
        <w:t xml:space="preserve">The Community Benefit Funding pass through provides the </w:t>
      </w:r>
      <w:r w:rsidR="00DE24F7">
        <w:t xml:space="preserve">mechanism to put the scheme in place </w:t>
      </w:r>
      <w:r w:rsidR="00CA49E1">
        <w:t>and we support Ofgem’s proposed approach. We welcome the comments around</w:t>
      </w:r>
      <w:r w:rsidR="0018661F">
        <w:t xml:space="preserve"> the efficiency of fund administration.</w:t>
      </w:r>
    </w:p>
    <w:p w14:paraId="24FA2138" w14:textId="77777777" w:rsidR="00FF7AAE" w:rsidRDefault="00FF7AAE" w:rsidP="00C738FA"/>
    <w:p w14:paraId="50335C0E" w14:textId="38F187F9" w:rsidR="00C738FA" w:rsidRPr="00FF7AAE" w:rsidRDefault="00C738FA" w:rsidP="00C738FA">
      <w:pPr>
        <w:rPr>
          <w:b/>
          <w:bCs/>
        </w:rPr>
      </w:pPr>
      <w:r w:rsidRPr="00FF7AAE">
        <w:rPr>
          <w:b/>
          <w:bCs/>
        </w:rPr>
        <w:t xml:space="preserve">ETQ9. What are your views on our consultation positions for the TOs' EAP commitments in RIIO-ET3? </w:t>
      </w:r>
    </w:p>
    <w:p w14:paraId="0827E7D6" w14:textId="3DC48419" w:rsidR="00A5316D" w:rsidRPr="00530790" w:rsidRDefault="00A5316D" w:rsidP="00C738FA">
      <w:pPr>
        <w:rPr>
          <w:i/>
          <w:iCs/>
        </w:rPr>
      </w:pPr>
      <w:r w:rsidRPr="00530790">
        <w:rPr>
          <w:i/>
          <w:iCs/>
        </w:rPr>
        <w:t>Insulation and Interruption (IIG) emissions</w:t>
      </w:r>
      <w:r w:rsidR="00FF7AAE">
        <w:rPr>
          <w:i/>
          <w:iCs/>
        </w:rPr>
        <w:t xml:space="preserve"> – </w:t>
      </w:r>
      <w:r w:rsidR="00FF7AAE" w:rsidRPr="0063300A">
        <w:rPr>
          <w:b/>
          <w:bCs/>
          <w:i/>
          <w:iCs/>
        </w:rPr>
        <w:t>see also our responses to ETQ12-14</w:t>
      </w:r>
      <w:r w:rsidR="0063300A" w:rsidRPr="0063300A">
        <w:rPr>
          <w:b/>
          <w:bCs/>
          <w:i/>
          <w:iCs/>
        </w:rPr>
        <w:t xml:space="preserve"> below</w:t>
      </w:r>
      <w:r w:rsidRPr="00530790">
        <w:rPr>
          <w:i/>
          <w:iCs/>
        </w:rPr>
        <w:t xml:space="preserve">: </w:t>
      </w:r>
    </w:p>
    <w:p w14:paraId="323826E1" w14:textId="77777777" w:rsidR="003A1B01" w:rsidRDefault="00EA3362" w:rsidP="00C738FA">
      <w:r>
        <w:t xml:space="preserve">We welcome the </w:t>
      </w:r>
      <w:r w:rsidR="008F7526">
        <w:t xml:space="preserve">emphasis Ofgem </w:t>
      </w:r>
      <w:r w:rsidR="00EA2AA8">
        <w:t xml:space="preserve">places on the need to reduce SF6 </w:t>
      </w:r>
      <w:r w:rsidR="00391101">
        <w:t>leakage</w:t>
      </w:r>
      <w:r w:rsidR="00D27C1F">
        <w:t xml:space="preserve"> and to move away from using SF6 </w:t>
      </w:r>
      <w:r w:rsidR="00391101">
        <w:t>in new switchgear</w:t>
      </w:r>
      <w:r w:rsidR="00F128B9">
        <w:t>. This is vital given</w:t>
      </w:r>
      <w:r w:rsidR="00B7329D">
        <w:t xml:space="preserve"> its </w:t>
      </w:r>
      <w:proofErr w:type="gramStart"/>
      <w:r w:rsidR="002F4442">
        <w:t xml:space="preserve">very </w:t>
      </w:r>
      <w:r w:rsidR="00B7329D">
        <w:t>high</w:t>
      </w:r>
      <w:proofErr w:type="gramEnd"/>
      <w:r w:rsidR="00B7329D">
        <w:t xml:space="preserve"> GWP </w:t>
      </w:r>
      <w:r w:rsidR="00B15AB2">
        <w:t>of 24300</w:t>
      </w:r>
      <w:r w:rsidR="00310507">
        <w:rPr>
          <w:rStyle w:val="FootnoteReference"/>
        </w:rPr>
        <w:footnoteReference w:id="2"/>
      </w:r>
      <w:r w:rsidR="00B15AB2">
        <w:t xml:space="preserve"> </w:t>
      </w:r>
      <w:r w:rsidR="00B7329D">
        <w:t>and long atmospheric life</w:t>
      </w:r>
      <w:r w:rsidR="003A1B01">
        <w:t>.</w:t>
      </w:r>
    </w:p>
    <w:p w14:paraId="4C9DE56D" w14:textId="5CEAF91E" w:rsidR="002E741E" w:rsidRDefault="00C35939" w:rsidP="00C738FA">
      <w:r>
        <w:t>This is an area that we explored in depth</w:t>
      </w:r>
      <w:r w:rsidR="00F128B9">
        <w:t xml:space="preserve"> in</w:t>
      </w:r>
      <w:r w:rsidR="00D27C1F">
        <w:t xml:space="preserve"> the Grid Edge Policy “Green Grids” report</w:t>
      </w:r>
      <w:r w:rsidR="00E94BC7">
        <w:rPr>
          <w:rStyle w:val="FootnoteReference"/>
        </w:rPr>
        <w:footnoteReference w:id="3"/>
      </w:r>
      <w:r w:rsidR="004F43ED">
        <w:t xml:space="preserve">, building on our earlier work </w:t>
      </w:r>
      <w:r w:rsidR="00FD4384">
        <w:t>reviewing the SF6 strategies in the ED2 Business Plans</w:t>
      </w:r>
      <w:r w:rsidR="00AA339C">
        <w:rPr>
          <w:rStyle w:val="FootnoteReference"/>
        </w:rPr>
        <w:footnoteReference w:id="4"/>
      </w:r>
      <w:r w:rsidR="00530790" w:rsidRPr="002B4852">
        <w:t>.</w:t>
      </w:r>
      <w:r w:rsidR="00530790">
        <w:t xml:space="preserve"> </w:t>
      </w:r>
    </w:p>
    <w:p w14:paraId="108B6FBB" w14:textId="75A1AAAD" w:rsidR="002C7544" w:rsidRDefault="00447C4C" w:rsidP="00016777">
      <w:r>
        <w:t>Building on the detailed commentary</w:t>
      </w:r>
      <w:r w:rsidR="003B476A">
        <w:rPr>
          <w:rStyle w:val="FootnoteReference"/>
        </w:rPr>
        <w:footnoteReference w:id="5"/>
      </w:r>
      <w:r>
        <w:t xml:space="preserve"> we provided as part of our response to the Call for Evidence on the Business Plans</w:t>
      </w:r>
      <w:r w:rsidR="001E76EB">
        <w:t>, we</w:t>
      </w:r>
      <w:r w:rsidR="006B0E10">
        <w:t xml:space="preserve"> remain concerned about the lack of clarity around the impact of </w:t>
      </w:r>
      <w:r w:rsidR="00B11506">
        <w:t xml:space="preserve">the EU F-Gas Regulation on the availability of switchgear using alternative gases </w:t>
      </w:r>
      <w:r w:rsidR="00232061">
        <w:t>(</w:t>
      </w:r>
      <w:r w:rsidR="00070673">
        <w:t>and</w:t>
      </w:r>
      <w:r w:rsidR="00BC4295">
        <w:t xml:space="preserve"> </w:t>
      </w:r>
      <w:r w:rsidR="00070673">
        <w:t>of non</w:t>
      </w:r>
      <w:r w:rsidR="00BC4295">
        <w:t>-</w:t>
      </w:r>
      <w:r w:rsidR="00070673">
        <w:t>SF6 gases for</w:t>
      </w:r>
      <w:r w:rsidR="005D62F9">
        <w:t xml:space="preserve"> retro</w:t>
      </w:r>
      <w:r w:rsidR="00BC4295">
        <w:t>-</w:t>
      </w:r>
      <w:r w:rsidR="005D62F9">
        <w:t>fill)</w:t>
      </w:r>
      <w:r w:rsidR="00232061">
        <w:t xml:space="preserve"> given the reliance of the TOs on EU based manufacturers</w:t>
      </w:r>
      <w:r w:rsidR="00E93C3F">
        <w:t xml:space="preserve">. </w:t>
      </w:r>
      <w:proofErr w:type="gramStart"/>
      <w:r w:rsidR="00BC4295">
        <w:t>I</w:t>
      </w:r>
      <w:r w:rsidR="00B11506">
        <w:t>n particular</w:t>
      </w:r>
      <w:r w:rsidR="0013756C">
        <w:t>,</w:t>
      </w:r>
      <w:r w:rsidR="00B11506">
        <w:t xml:space="preserve"> </w:t>
      </w:r>
      <w:r w:rsidR="00E93C3F">
        <w:t>we</w:t>
      </w:r>
      <w:proofErr w:type="gramEnd"/>
      <w:r w:rsidR="00E93C3F">
        <w:t xml:space="preserve"> </w:t>
      </w:r>
      <w:r w:rsidR="00B11506">
        <w:t xml:space="preserve">note </w:t>
      </w:r>
      <w:r w:rsidR="00AE6641">
        <w:t>a</w:t>
      </w:r>
      <w:r w:rsidR="00B11506">
        <w:t xml:space="preserve"> recent</w:t>
      </w:r>
      <w:r w:rsidR="007D7A2A">
        <w:t xml:space="preserve"> set </w:t>
      </w:r>
      <w:r w:rsidR="007D7A2A" w:rsidRPr="006B465E">
        <w:t xml:space="preserve">of </w:t>
      </w:r>
      <w:r w:rsidR="00B11506" w:rsidRPr="006B465E">
        <w:t>FAQs</w:t>
      </w:r>
      <w:r w:rsidR="00030EE0" w:rsidRPr="006B465E">
        <w:rPr>
          <w:rStyle w:val="FootnoteReference"/>
        </w:rPr>
        <w:footnoteReference w:id="6"/>
      </w:r>
      <w:r w:rsidR="00B11506">
        <w:t xml:space="preserve"> </w:t>
      </w:r>
      <w:r w:rsidR="009E457E">
        <w:t xml:space="preserve">coming out of the EU </w:t>
      </w:r>
      <w:r w:rsidR="00B11506">
        <w:t xml:space="preserve">that </w:t>
      </w:r>
      <w:r w:rsidR="00ED7740">
        <w:t>state</w:t>
      </w:r>
      <w:r w:rsidR="007B625D">
        <w:t xml:space="preserve"> that the </w:t>
      </w:r>
      <w:r w:rsidR="007C1719">
        <w:t xml:space="preserve">life cycle carbon cost </w:t>
      </w:r>
      <w:r w:rsidR="006B465E">
        <w:t>derogation</w:t>
      </w:r>
      <w:r w:rsidR="003B5D9F">
        <w:t xml:space="preserve"> (for switchgear)</w:t>
      </w:r>
      <w:r w:rsidR="00E779C2">
        <w:t xml:space="preserve"> does not apply as no methodology has </w:t>
      </w:r>
      <w:proofErr w:type="gramStart"/>
      <w:r w:rsidR="00E779C2">
        <w:t>been agreed</w:t>
      </w:r>
      <w:proofErr w:type="gramEnd"/>
      <w:r w:rsidR="00CA0B61">
        <w:t xml:space="preserve"> </w:t>
      </w:r>
      <w:r w:rsidR="00CA0B61">
        <w:lastRenderedPageBreak/>
        <w:t>under the eco-design framework</w:t>
      </w:r>
      <w:r w:rsidR="00E779C2">
        <w:t xml:space="preserve">. </w:t>
      </w:r>
      <w:r w:rsidR="00761547">
        <w:t xml:space="preserve">This derogation </w:t>
      </w:r>
      <w:proofErr w:type="gramStart"/>
      <w:r w:rsidR="00761547">
        <w:t>was previously seen</w:t>
      </w:r>
      <w:proofErr w:type="gramEnd"/>
      <w:r w:rsidR="00761547">
        <w:t xml:space="preserve"> as </w:t>
      </w:r>
      <w:r w:rsidR="0076732F">
        <w:t>key</w:t>
      </w:r>
      <w:r w:rsidR="00761547">
        <w:t xml:space="preserve"> </w:t>
      </w:r>
      <w:r w:rsidR="00344520">
        <w:t xml:space="preserve">to allowing C4FN based products (with a </w:t>
      </w:r>
      <w:r w:rsidR="00A41D71">
        <w:t xml:space="preserve">GWP radically below that of SF6 </w:t>
      </w:r>
      <w:r w:rsidR="00D4080E">
        <w:t xml:space="preserve">but still above the threshold of </w:t>
      </w:r>
      <w:proofErr w:type="gramStart"/>
      <w:r w:rsidR="00D4080E">
        <w:t>1</w:t>
      </w:r>
      <w:proofErr w:type="gramEnd"/>
      <w:r w:rsidR="00D4080E">
        <w:t xml:space="preserve"> set in the EU Regulation)</w:t>
      </w:r>
      <w:r w:rsidR="001E08AE">
        <w:t>. On a more positive note</w:t>
      </w:r>
      <w:r w:rsidR="003B5D9F">
        <w:t>,</w:t>
      </w:r>
      <w:r w:rsidR="001E08AE">
        <w:t xml:space="preserve"> manufacturers, driven by the EU Regulation, would seem to be putting </w:t>
      </w:r>
      <w:r w:rsidR="003B5D9F">
        <w:t>m</w:t>
      </w:r>
      <w:r w:rsidR="001E08AE">
        <w:t xml:space="preserve">ore focus on developing natural origin gas products – but these </w:t>
      </w:r>
      <w:r w:rsidR="006C7073">
        <w:t xml:space="preserve">(or air insulated switchgear) </w:t>
      </w:r>
      <w:r w:rsidR="001146AD">
        <w:t>may not be suitable for all situations in the GB.</w:t>
      </w:r>
    </w:p>
    <w:p w14:paraId="6258200D" w14:textId="47C55A6F" w:rsidR="00016777" w:rsidRDefault="004D63C2" w:rsidP="00016777">
      <w:r>
        <w:t xml:space="preserve">As Ofgem </w:t>
      </w:r>
      <w:r w:rsidR="0022529E">
        <w:t>sets out,</w:t>
      </w:r>
      <w:r w:rsidR="00320AE8">
        <w:t xml:space="preserve"> the network commitments are to use alternatives “</w:t>
      </w:r>
      <w:r w:rsidR="00320AE8" w:rsidRPr="00320AE8">
        <w:t>where technically and commercially viable</w:t>
      </w:r>
      <w:r w:rsidR="00320AE8">
        <w:t>” (and in NGET’s case also “timely”</w:t>
      </w:r>
      <w:r w:rsidR="00CF65D3">
        <w:t xml:space="preserve">). </w:t>
      </w:r>
      <w:r w:rsidR="005D62F9">
        <w:t xml:space="preserve">We ask Ofgem to continue to </w:t>
      </w:r>
      <w:proofErr w:type="gramStart"/>
      <w:r w:rsidR="005D62F9">
        <w:t>test</w:t>
      </w:r>
      <w:proofErr w:type="gramEnd"/>
      <w:r w:rsidR="005D62F9">
        <w:t xml:space="preserve"> with the TOs the deliverability </w:t>
      </w:r>
      <w:r w:rsidR="003D51FB">
        <w:t xml:space="preserve">of their Commitments </w:t>
      </w:r>
      <w:r w:rsidR="00D87C11">
        <w:t>in this context</w:t>
      </w:r>
      <w:r w:rsidR="006E78CF">
        <w:t xml:space="preserve">, how they will evidence </w:t>
      </w:r>
      <w:r w:rsidR="00622590">
        <w:t>the viability (or not) of alternatives</w:t>
      </w:r>
      <w:r w:rsidR="00D87C11">
        <w:t xml:space="preserve"> </w:t>
      </w:r>
      <w:r w:rsidR="003D51FB">
        <w:t>and what contingency plans they have in place.</w:t>
      </w:r>
      <w:r w:rsidR="00016777" w:rsidRPr="00016777">
        <w:t xml:space="preserve"> </w:t>
      </w:r>
    </w:p>
    <w:p w14:paraId="5FB204A9" w14:textId="19020E37" w:rsidR="00975E9F" w:rsidRDefault="00541DAE" w:rsidP="00016777">
      <w:r>
        <w:t xml:space="preserve">The DESNZ </w:t>
      </w:r>
      <w:r w:rsidR="00295EF6">
        <w:t xml:space="preserve">Draft </w:t>
      </w:r>
      <w:r>
        <w:t xml:space="preserve">Updated Planning Policy </w:t>
      </w:r>
      <w:r w:rsidR="00295EF6">
        <w:t xml:space="preserve">for energy infrastructure (EN5) </w:t>
      </w:r>
      <w:r w:rsidR="002D60DA">
        <w:t xml:space="preserve">makes the use of SF6 a consideration for planning: </w:t>
      </w:r>
      <w:r w:rsidR="002D60DA" w:rsidRPr="00EE2690">
        <w:rPr>
          <w:i/>
          <w:iCs/>
        </w:rPr>
        <w:t>“</w:t>
      </w:r>
      <w:r w:rsidR="00FA54F4" w:rsidRPr="00EE2690">
        <w:rPr>
          <w:i/>
          <w:iCs/>
        </w:rPr>
        <w:t>Applicants should at the design phase of the process consider carefully whether the proposed development could be reconceived to avoid the use of SF6-reliant assets</w:t>
      </w:r>
      <w:r w:rsidR="00552800" w:rsidRPr="00EE2690">
        <w:rPr>
          <w:i/>
          <w:iCs/>
        </w:rPr>
        <w:t>”</w:t>
      </w:r>
      <w:r w:rsidR="00552800">
        <w:t xml:space="preserve"> with evidence required </w:t>
      </w:r>
      <w:r w:rsidR="005F733D">
        <w:t>as to the options considered if SF6 has to be used.</w:t>
      </w:r>
      <w:r w:rsidR="00734C6C">
        <w:t xml:space="preserve"> This should help reinforce </w:t>
      </w:r>
      <w:r w:rsidR="00FC058B">
        <w:t>adherence to the commitments</w:t>
      </w:r>
      <w:r w:rsidR="00B116ED">
        <w:t xml:space="preserve">. We would encourage Ofgem to review the position once the final Planning Policy </w:t>
      </w:r>
      <w:proofErr w:type="gramStart"/>
      <w:r w:rsidR="00B116ED">
        <w:t>is published</w:t>
      </w:r>
      <w:proofErr w:type="gramEnd"/>
      <w:r w:rsidR="00B116ED">
        <w:t>.</w:t>
      </w:r>
    </w:p>
    <w:p w14:paraId="04C42F0B" w14:textId="77777777" w:rsidR="006C66D2" w:rsidRDefault="006C66D2" w:rsidP="006C66D2">
      <w:r>
        <w:t>We also note the recent update to guidance on handling of SF6, leakage monitoring and reporting produced by Defra and the EA.</w:t>
      </w:r>
      <w:r>
        <w:rPr>
          <w:rStyle w:val="FootnoteReference"/>
        </w:rPr>
        <w:footnoteReference w:id="7"/>
      </w:r>
      <w:r>
        <w:t xml:space="preserve"> While this does not introduce substantive new requirements it reinforces the importance of management focus on these issues.</w:t>
      </w:r>
    </w:p>
    <w:p w14:paraId="4553592A" w14:textId="65DC8994" w:rsidR="00016777" w:rsidRDefault="006C66D2" w:rsidP="00016777">
      <w:r>
        <w:t>Finally, we</w:t>
      </w:r>
      <w:r w:rsidR="00016777">
        <w:t xml:space="preserve"> note the </w:t>
      </w:r>
      <w:r w:rsidR="007C33B7">
        <w:t>requirement</w:t>
      </w:r>
      <w:r w:rsidR="00016777">
        <w:t xml:space="preserve"> at EU level to use recycled gas </w:t>
      </w:r>
      <w:r w:rsidR="009F5094">
        <w:t>for maintenance from 2035</w:t>
      </w:r>
      <w:r w:rsidR="00016777">
        <w:t xml:space="preserve"> and would like to see </w:t>
      </w:r>
      <w:r w:rsidR="00934486">
        <w:t xml:space="preserve">preparation for </w:t>
      </w:r>
      <w:r w:rsidR="00016777">
        <w:t>this reflected in company strategies going forward.</w:t>
      </w:r>
    </w:p>
    <w:p w14:paraId="11B79797" w14:textId="6248E2E7" w:rsidR="00076EB0" w:rsidRDefault="0028284D" w:rsidP="00C738FA">
      <w:r>
        <w:t>Th</w:t>
      </w:r>
      <w:r w:rsidR="00322A06">
        <w:t>ese are complex</w:t>
      </w:r>
      <w:r w:rsidR="00ED5B81">
        <w:t xml:space="preserve"> and evolving</w:t>
      </w:r>
      <w:r w:rsidR="00322A06">
        <w:t xml:space="preserve"> issues</w:t>
      </w:r>
      <w:r>
        <w:t xml:space="preserve"> </w:t>
      </w:r>
      <w:r w:rsidR="00322A06">
        <w:t>and</w:t>
      </w:r>
      <w:r>
        <w:t xml:space="preserve"> underpin our concern about Ofgem relying on reputational regulation to</w:t>
      </w:r>
      <w:r w:rsidR="00A72C38">
        <w:t xml:space="preserve"> hold companies to account for delivery of their </w:t>
      </w:r>
      <w:r w:rsidR="00AB7B34">
        <w:t xml:space="preserve">EAP </w:t>
      </w:r>
      <w:r w:rsidR="00A72C38">
        <w:t>commitments</w:t>
      </w:r>
      <w:r w:rsidR="003C4840">
        <w:t>. We would therefore reiterate</w:t>
      </w:r>
      <w:r w:rsidR="00A72C38">
        <w:t xml:space="preserve"> our call for greater scrutiny by Ofgem of performance</w:t>
      </w:r>
      <w:r w:rsidR="009907B1">
        <w:t xml:space="preserve"> </w:t>
      </w:r>
      <w:r w:rsidR="00AA0E54">
        <w:t xml:space="preserve">in this area </w:t>
      </w:r>
      <w:r w:rsidR="009907B1">
        <w:t>through the annual reports it produces.</w:t>
      </w:r>
      <w:r w:rsidR="00182D5D">
        <w:t xml:space="preserve"> </w:t>
      </w:r>
    </w:p>
    <w:p w14:paraId="48C1369F" w14:textId="77777777" w:rsidR="00AA0E54" w:rsidRDefault="00AA0E54" w:rsidP="00C738FA"/>
    <w:p w14:paraId="6C6471F8" w14:textId="02AEBEA6" w:rsidR="00663BBF" w:rsidRPr="009F7B1D" w:rsidRDefault="00663BBF" w:rsidP="00C738FA">
      <w:pPr>
        <w:rPr>
          <w:i/>
          <w:iCs/>
        </w:rPr>
      </w:pPr>
      <w:r w:rsidRPr="009F7B1D">
        <w:rPr>
          <w:i/>
          <w:iCs/>
        </w:rPr>
        <w:t>Transmission losses</w:t>
      </w:r>
      <w:r w:rsidR="00D72ACB">
        <w:rPr>
          <w:i/>
          <w:iCs/>
        </w:rPr>
        <w:t xml:space="preserve"> – </w:t>
      </w:r>
      <w:r w:rsidR="00D72ACB" w:rsidRPr="00D72ACB">
        <w:rPr>
          <w:b/>
          <w:bCs/>
          <w:i/>
          <w:iCs/>
        </w:rPr>
        <w:t>see also our response to ETQ10 below</w:t>
      </w:r>
    </w:p>
    <w:p w14:paraId="75FA7D21" w14:textId="77777777" w:rsidR="00D8729F" w:rsidRDefault="009F7B1D" w:rsidP="00C738FA">
      <w:r>
        <w:t xml:space="preserve">We welcome the positioning of losses as a system issue </w:t>
      </w:r>
      <w:r w:rsidR="00F07496">
        <w:t>and the acknowledgment that “</w:t>
      </w:r>
      <w:r w:rsidR="00F07496" w:rsidRPr="0084631B">
        <w:rPr>
          <w:i/>
          <w:iCs/>
        </w:rPr>
        <w:t>Although ET losses are largely the result of NESO decisions regarding specification and usage of the electricity system, the TOs do have some influence - either directly or indirectly (eg asset procurement decision-making).</w:t>
      </w:r>
      <w:r w:rsidR="00F07496">
        <w:t xml:space="preserve">” </w:t>
      </w:r>
    </w:p>
    <w:p w14:paraId="24591371" w14:textId="77777777" w:rsidR="00CE1D05" w:rsidRDefault="00F07496" w:rsidP="00C738FA">
      <w:r>
        <w:t>That said</w:t>
      </w:r>
      <w:r w:rsidR="002B088C">
        <w:t>,</w:t>
      </w:r>
      <w:r>
        <w:t xml:space="preserve"> </w:t>
      </w:r>
      <w:r w:rsidR="00006FBC">
        <w:t xml:space="preserve">and as highlighted in </w:t>
      </w:r>
      <w:r w:rsidR="00713680">
        <w:t xml:space="preserve">our detailed commentary on </w:t>
      </w:r>
      <w:r w:rsidR="005770B5">
        <w:t xml:space="preserve">this aspect of </w:t>
      </w:r>
      <w:r w:rsidR="00713680">
        <w:t>the ET3 Business Plans</w:t>
      </w:r>
      <w:r w:rsidR="005770B5">
        <w:rPr>
          <w:rStyle w:val="FootnoteReference"/>
        </w:rPr>
        <w:footnoteReference w:id="8"/>
      </w:r>
      <w:r w:rsidR="005770B5">
        <w:t>,</w:t>
      </w:r>
      <w:r w:rsidR="00713680">
        <w:t xml:space="preserve"> we are concerned</w:t>
      </w:r>
      <w:r>
        <w:t xml:space="preserve"> that the NESO itself claims that losses are outside its control</w:t>
      </w:r>
      <w:r w:rsidR="0072637A">
        <w:rPr>
          <w:rStyle w:val="FootnoteReference"/>
        </w:rPr>
        <w:footnoteReference w:id="9"/>
      </w:r>
      <w:r w:rsidR="00FC60C5">
        <w:t>. H</w:t>
      </w:r>
      <w:r w:rsidR="008C4E65">
        <w:t>ence there would seem to be a lack of any overall ownership of the</w:t>
      </w:r>
      <w:r w:rsidR="0067062B">
        <w:t xml:space="preserve">se </w:t>
      </w:r>
      <w:r w:rsidR="0072637A">
        <w:t xml:space="preserve">emissions </w:t>
      </w:r>
      <w:r w:rsidR="008C4E65">
        <w:t>at transmission level.</w:t>
      </w:r>
      <w:r w:rsidR="001E2C6F">
        <w:t xml:space="preserve"> </w:t>
      </w:r>
    </w:p>
    <w:p w14:paraId="26940D0C" w14:textId="7C8F666B" w:rsidR="00F07496" w:rsidRDefault="004E2246" w:rsidP="00C738FA">
      <w:r w:rsidRPr="004E2246">
        <w:t>While we clearly do not expect the NESO to optimise the system for losses, we would expect it to be a consideration in the decisions it takes and would hope that Ofgem will reinforce that message</w:t>
      </w:r>
      <w:r>
        <w:t xml:space="preserve">, and encourage greater </w:t>
      </w:r>
      <w:r w:rsidR="000504BB">
        <w:t>dialogue between the TOs and NESO on this issue.</w:t>
      </w:r>
    </w:p>
    <w:p w14:paraId="58993C67" w14:textId="394101D0" w:rsidR="003659B5" w:rsidRDefault="003659B5" w:rsidP="00C738FA">
      <w:r>
        <w:lastRenderedPageBreak/>
        <w:t xml:space="preserve">We are aware that historically </w:t>
      </w:r>
      <w:r w:rsidR="00295916">
        <w:t xml:space="preserve">the SO had obligations to </w:t>
      </w:r>
      <w:r w:rsidR="00CE1D05">
        <w:t xml:space="preserve">report on losses and to set out </w:t>
      </w:r>
      <w:r w:rsidR="00D031CB">
        <w:t xml:space="preserve">how they </w:t>
      </w:r>
      <w:proofErr w:type="gramStart"/>
      <w:r w:rsidR="00D031CB">
        <w:t>were considered</w:t>
      </w:r>
      <w:proofErr w:type="gramEnd"/>
      <w:r w:rsidR="00D031CB">
        <w:t xml:space="preserve"> in balancing the system</w:t>
      </w:r>
      <w:r w:rsidR="005718E1">
        <w:rPr>
          <w:rStyle w:val="FootnoteReference"/>
        </w:rPr>
        <w:footnoteReference w:id="10"/>
      </w:r>
      <w:r w:rsidR="00D031CB">
        <w:t xml:space="preserve">, this obligation </w:t>
      </w:r>
      <w:proofErr w:type="gramStart"/>
      <w:r w:rsidR="00D031CB">
        <w:t>was dropped</w:t>
      </w:r>
      <w:proofErr w:type="gramEnd"/>
      <w:r w:rsidR="00D031CB">
        <w:t xml:space="preserve"> </w:t>
      </w:r>
      <w:r w:rsidR="00FE0093">
        <w:t xml:space="preserve">with the establishment of NESO. We are unclear what the rationale for this was </w:t>
      </w:r>
      <w:r w:rsidR="001B6239">
        <w:t xml:space="preserve">and would ask Ofgem to </w:t>
      </w:r>
      <w:r w:rsidR="00B137DD">
        <w:t>revisit this decision with DESNZ.</w:t>
      </w:r>
    </w:p>
    <w:p w14:paraId="7202662F" w14:textId="32728AA9" w:rsidR="008C4E65" w:rsidRDefault="00B137DD" w:rsidP="00C738FA">
      <w:r>
        <w:t>In terms of the TOs</w:t>
      </w:r>
      <w:r w:rsidR="00550750">
        <w:t>’ commitments</w:t>
      </w:r>
      <w:r>
        <w:t xml:space="preserve">, </w:t>
      </w:r>
      <w:r w:rsidR="00550750">
        <w:t>w</w:t>
      </w:r>
      <w:r w:rsidR="0084631B">
        <w:t xml:space="preserve">e </w:t>
      </w:r>
      <w:r w:rsidR="003D1694">
        <w:t>endorse</w:t>
      </w:r>
      <w:r w:rsidR="0084631B">
        <w:t xml:space="preserve"> Ofgem’s </w:t>
      </w:r>
      <w:r w:rsidR="003D1694">
        <w:t xml:space="preserve">criticism of the company plans </w:t>
      </w:r>
      <w:r w:rsidR="00107965">
        <w:t xml:space="preserve">in this area and are pleased that, as promised, Ofgem took account of this </w:t>
      </w:r>
      <w:r w:rsidR="004A07AD">
        <w:t>in its assessment of the Business Plan Incentive.</w:t>
      </w:r>
    </w:p>
    <w:p w14:paraId="3FFDC872" w14:textId="48C5C0B7" w:rsidR="004A07AD" w:rsidRDefault="004A07AD" w:rsidP="00C738FA">
      <w:r>
        <w:t>As a result</w:t>
      </w:r>
      <w:r w:rsidR="00BF596C">
        <w:t>,</w:t>
      </w:r>
      <w:r>
        <w:t xml:space="preserve"> we are concerned </w:t>
      </w:r>
      <w:r w:rsidR="00005B40">
        <w:t xml:space="preserve">about the overall positioning that Ofgem has “accepted” the commitments offered. </w:t>
      </w:r>
      <w:r w:rsidR="00BF596C">
        <w:t xml:space="preserve">We would have </w:t>
      </w:r>
      <w:r w:rsidR="006105E4">
        <w:t>expected</w:t>
      </w:r>
      <w:r w:rsidR="00BF596C">
        <w:t xml:space="preserve"> Ofgem to have signalled that it wanted to see </w:t>
      </w:r>
      <w:r w:rsidR="00B20AAC">
        <w:t xml:space="preserve">stronger commitments in this area </w:t>
      </w:r>
      <w:r w:rsidR="003D0F1A">
        <w:t>ahead of Final Determinations</w:t>
      </w:r>
      <w:r w:rsidR="00E359B7">
        <w:t>. We would ask Ofgem to make clear at Final Determination that it expects a much strong</w:t>
      </w:r>
      <w:r w:rsidR="00D677EB">
        <w:t>er</w:t>
      </w:r>
      <w:r w:rsidR="00E359B7">
        <w:t xml:space="preserve"> emphasis on </w:t>
      </w:r>
      <w:r w:rsidR="00C9527E">
        <w:t>measuring and understanding losses through ET3</w:t>
      </w:r>
      <w:r w:rsidR="00973A1D">
        <w:t xml:space="preserve"> </w:t>
      </w:r>
      <w:r w:rsidR="000F307A">
        <w:t>(and</w:t>
      </w:r>
      <w:r w:rsidR="00973A1D">
        <w:t xml:space="preserve"> to cover this in the standard reporting that </w:t>
      </w:r>
      <w:proofErr w:type="gramStart"/>
      <w:r w:rsidR="00973A1D">
        <w:t>is required</w:t>
      </w:r>
      <w:proofErr w:type="gramEnd"/>
      <w:r w:rsidR="00973A1D">
        <w:t xml:space="preserve"> as part of the EAP).</w:t>
      </w:r>
      <w:r w:rsidR="009A1B99">
        <w:t xml:space="preserve"> The </w:t>
      </w:r>
      <w:r w:rsidR="0088180F">
        <w:t xml:space="preserve">networks should also </w:t>
      </w:r>
      <w:proofErr w:type="gramStart"/>
      <w:r w:rsidR="0088180F">
        <w:t>be required</w:t>
      </w:r>
      <w:proofErr w:type="gramEnd"/>
      <w:r w:rsidR="0088180F">
        <w:t xml:space="preserve"> to update and publish </w:t>
      </w:r>
      <w:r w:rsidR="00DA2867">
        <w:t>their</w:t>
      </w:r>
      <w:r w:rsidR="0088180F">
        <w:t xml:space="preserve"> losses strategy </w:t>
      </w:r>
      <w:r w:rsidR="000934EA">
        <w:t>by a set date early in ET3.</w:t>
      </w:r>
    </w:p>
    <w:p w14:paraId="5656F353" w14:textId="77777777" w:rsidR="00A2218C" w:rsidRDefault="00A2218C" w:rsidP="00C738FA">
      <w:pPr>
        <w:rPr>
          <w:i/>
          <w:iCs/>
        </w:rPr>
      </w:pPr>
    </w:p>
    <w:p w14:paraId="553D147F" w14:textId="6E8A9A86" w:rsidR="00DD745B" w:rsidRPr="00F37244" w:rsidRDefault="00DD745B" w:rsidP="00C738FA">
      <w:pPr>
        <w:rPr>
          <w:i/>
          <w:iCs/>
        </w:rPr>
      </w:pPr>
      <w:r w:rsidRPr="00F37244">
        <w:rPr>
          <w:i/>
          <w:iCs/>
        </w:rPr>
        <w:t xml:space="preserve">Embodied carbon: </w:t>
      </w:r>
    </w:p>
    <w:p w14:paraId="0C716222" w14:textId="77777777" w:rsidR="00F37244" w:rsidRDefault="005A0A27" w:rsidP="00C738FA">
      <w:r>
        <w:t>We note the progress on</w:t>
      </w:r>
      <w:r w:rsidR="007B4133">
        <w:t xml:space="preserve"> embodied carbon but would highlight that formal targets around reductions in scope </w:t>
      </w:r>
      <w:proofErr w:type="gramStart"/>
      <w:r w:rsidR="007B4133">
        <w:t>3</w:t>
      </w:r>
      <w:proofErr w:type="gramEnd"/>
      <w:r w:rsidR="007B4133">
        <w:t xml:space="preserve"> emissions need to </w:t>
      </w:r>
      <w:proofErr w:type="gramStart"/>
      <w:r w:rsidR="007B4133">
        <w:t>be treated</w:t>
      </w:r>
      <w:proofErr w:type="gramEnd"/>
      <w:r w:rsidR="007B4133">
        <w:t xml:space="preserve"> with </w:t>
      </w:r>
      <w:proofErr w:type="gramStart"/>
      <w:r w:rsidR="007B4133">
        <w:t>some</w:t>
      </w:r>
      <w:proofErr w:type="gramEnd"/>
      <w:r w:rsidR="007B4133">
        <w:t xml:space="preserve"> caution until the baseline </w:t>
      </w:r>
      <w:proofErr w:type="gramStart"/>
      <w:r w:rsidR="009B18E0">
        <w:t>is demonstrated</w:t>
      </w:r>
      <w:proofErr w:type="gramEnd"/>
      <w:r w:rsidR="009B18E0">
        <w:t xml:space="preserve"> to be robust and comprehensive</w:t>
      </w:r>
      <w:proofErr w:type="gramStart"/>
      <w:r w:rsidR="009B18E0">
        <w:t xml:space="preserve">. </w:t>
      </w:r>
      <w:r>
        <w:t xml:space="preserve"> </w:t>
      </w:r>
      <w:proofErr w:type="gramEnd"/>
    </w:p>
    <w:p w14:paraId="13D11BAA" w14:textId="77777777" w:rsidR="00BE73E8" w:rsidRDefault="00D236E0" w:rsidP="00C738FA">
      <w:r>
        <w:t xml:space="preserve">We note Ofgem has rejected the proposed low carbon construction </w:t>
      </w:r>
      <w:r w:rsidR="00F37244">
        <w:t>m</w:t>
      </w:r>
      <w:r>
        <w:t>aterials</w:t>
      </w:r>
      <w:r w:rsidR="00F37244">
        <w:t xml:space="preserve"> and opportunities UIOLI but read Ofgem’s position as supporting the use of low carbon construction</w:t>
      </w:r>
      <w:r w:rsidR="006D57BA">
        <w:t xml:space="preserve"> where the costs </w:t>
      </w:r>
      <w:proofErr w:type="gramStart"/>
      <w:r w:rsidR="006D57BA">
        <w:t>are included</w:t>
      </w:r>
      <w:proofErr w:type="gramEnd"/>
      <w:r w:rsidR="006D57BA">
        <w:t xml:space="preserve"> as part of the business case. We would </w:t>
      </w:r>
      <w:r w:rsidR="001D10CF">
        <w:t xml:space="preserve">ask Ofgem to signal more clearly if innovation funding could </w:t>
      </w:r>
      <w:proofErr w:type="gramStart"/>
      <w:r w:rsidR="001D10CF">
        <w:t>be used</w:t>
      </w:r>
      <w:proofErr w:type="gramEnd"/>
      <w:r w:rsidR="001D10CF">
        <w:t xml:space="preserve"> to help develop solutions where they are not currently available.</w:t>
      </w:r>
      <w:r w:rsidR="006454B0">
        <w:t xml:space="preserve"> </w:t>
      </w:r>
    </w:p>
    <w:p w14:paraId="6E3F4F2C" w14:textId="04D1EDED" w:rsidR="001913C9" w:rsidRDefault="006454B0" w:rsidP="00C738FA">
      <w:r>
        <w:t>We also question how Ofgem’s stance will work in a rapidly developing market such as those for low and ultra-low carbon steel and concrete, where prices will fall relative to conventional materials during the 5</w:t>
      </w:r>
      <w:r w:rsidR="00BE73E8">
        <w:t>-</w:t>
      </w:r>
      <w:r>
        <w:t>year RIIO2 period.</w:t>
      </w:r>
      <w:r w:rsidR="00BE73E8">
        <w:t xml:space="preserve"> We note that in a similar position in RIIO2 – </w:t>
      </w:r>
      <w:proofErr w:type="gramStart"/>
      <w:r w:rsidR="00BE73E8">
        <w:t>with regard to</w:t>
      </w:r>
      <w:proofErr w:type="gramEnd"/>
      <w:r w:rsidR="00BE73E8">
        <w:t xml:space="preserve"> developments in </w:t>
      </w:r>
      <w:r w:rsidR="00B00AAB">
        <w:t>low carbon</w:t>
      </w:r>
      <w:r w:rsidR="00BE73E8">
        <w:t xml:space="preserve"> vehicles – Ofgem and its challenge group criticised those companies which did not take account of </w:t>
      </w:r>
      <w:proofErr w:type="gramStart"/>
      <w:r w:rsidR="00BE73E8">
        <w:t>likely technological</w:t>
      </w:r>
      <w:proofErr w:type="gramEnd"/>
      <w:r w:rsidR="00BE73E8">
        <w:t xml:space="preserve"> development over the </w:t>
      </w:r>
      <w:r w:rsidR="00B00AAB">
        <w:t>5-year</w:t>
      </w:r>
      <w:r w:rsidR="00BE73E8">
        <w:t xml:space="preserve"> period.</w:t>
      </w:r>
    </w:p>
    <w:p w14:paraId="20892D78" w14:textId="78362D30" w:rsidR="00615CDB" w:rsidRDefault="00615CDB" w:rsidP="00C738FA">
      <w:r>
        <w:t>We are aware that this is a difficult area</w:t>
      </w:r>
      <w:r w:rsidR="00BE73E8">
        <w:t>,</w:t>
      </w:r>
      <w:r>
        <w:t xml:space="preserve"> </w:t>
      </w:r>
      <w:r w:rsidR="006F343D">
        <w:t xml:space="preserve">but it is one that </w:t>
      </w:r>
      <w:proofErr w:type="gramStart"/>
      <w:r w:rsidR="006F343D">
        <w:t>is not limited</w:t>
      </w:r>
      <w:proofErr w:type="gramEnd"/>
      <w:r w:rsidR="006F343D">
        <w:t xml:space="preserve"> to the power sector. </w:t>
      </w:r>
      <w:r w:rsidR="00DD1C14">
        <w:t xml:space="preserve">We would like to see Ofgem encouraging greater awareness of and learning lessons from </w:t>
      </w:r>
      <w:r w:rsidR="007026D2">
        <w:t>other sectors.</w:t>
      </w:r>
    </w:p>
    <w:p w14:paraId="2B6434EA" w14:textId="4932A7FF" w:rsidR="001D10CF" w:rsidRPr="005E3E41" w:rsidRDefault="00E06728" w:rsidP="00C738FA">
      <w:pPr>
        <w:rPr>
          <w:i/>
          <w:iCs/>
        </w:rPr>
      </w:pPr>
      <w:r w:rsidRPr="005E3E41">
        <w:rPr>
          <w:i/>
          <w:iCs/>
        </w:rPr>
        <w:t>Biodiversity and natural capital</w:t>
      </w:r>
      <w:r w:rsidR="007026D2" w:rsidRPr="005E3E41">
        <w:rPr>
          <w:i/>
          <w:iCs/>
        </w:rPr>
        <w:t xml:space="preserve"> – </w:t>
      </w:r>
      <w:r w:rsidR="007026D2" w:rsidRPr="005E3E41">
        <w:rPr>
          <w:b/>
          <w:bCs/>
          <w:i/>
          <w:iCs/>
        </w:rPr>
        <w:t xml:space="preserve">see also our response to </w:t>
      </w:r>
      <w:r w:rsidR="005E3E41" w:rsidRPr="005E3E41">
        <w:rPr>
          <w:b/>
          <w:bCs/>
          <w:i/>
          <w:iCs/>
        </w:rPr>
        <w:t>ETQ11</w:t>
      </w:r>
      <w:r w:rsidRPr="005E3E41">
        <w:rPr>
          <w:b/>
          <w:bCs/>
          <w:i/>
          <w:iCs/>
        </w:rPr>
        <w:t>:</w:t>
      </w:r>
      <w:r w:rsidRPr="005E3E41">
        <w:rPr>
          <w:i/>
          <w:iCs/>
        </w:rPr>
        <w:t xml:space="preserve"> </w:t>
      </w:r>
    </w:p>
    <w:p w14:paraId="4B305705" w14:textId="77777777" w:rsidR="00BE73E8" w:rsidRDefault="006454B0" w:rsidP="00C738FA">
      <w:r>
        <w:t xml:space="preserve">In this area Ofgem’s proposed position </w:t>
      </w:r>
      <w:proofErr w:type="gramStart"/>
      <w:r>
        <w:t>actually represents</w:t>
      </w:r>
      <w:proofErr w:type="gramEnd"/>
      <w:r>
        <w:t xml:space="preserve"> a negative change since RIIO2. This seems to us fundamentally wrong. </w:t>
      </w:r>
    </w:p>
    <w:p w14:paraId="45196A07" w14:textId="57B51B48" w:rsidR="00E06728" w:rsidRDefault="00BE73E8" w:rsidP="00C738FA">
      <w:r>
        <w:t xml:space="preserve">We have provided in the attached documents comprehensive evidence of consumer support and consumer value from such spend. We also feel that Ofgem’s approach is contrary to at least the spirit </w:t>
      </w:r>
      <w:r w:rsidR="00B00AAB">
        <w:t xml:space="preserve">(and quite possibly the letter) </w:t>
      </w:r>
      <w:r>
        <w:t xml:space="preserve">of recent legislative requirements on public bodies, </w:t>
      </w:r>
      <w:r>
        <w:lastRenderedPageBreak/>
        <w:t>and we wonder if Ofgem has consciously examined the implications for its decision</w:t>
      </w:r>
      <w:r w:rsidR="00B00AAB">
        <w:t xml:space="preserve"> making of</w:t>
      </w:r>
      <w:r>
        <w:t xml:space="preserve"> the relevant Acts (the Environment Act and the Levelling Up Act).</w:t>
      </w:r>
    </w:p>
    <w:p w14:paraId="0FEF01BC" w14:textId="3763CD76" w:rsidR="0082026C" w:rsidRPr="005E3E41" w:rsidRDefault="00C738FA" w:rsidP="00C738FA">
      <w:pPr>
        <w:rPr>
          <w:b/>
          <w:bCs/>
        </w:rPr>
      </w:pPr>
      <w:r w:rsidRPr="005E3E41">
        <w:rPr>
          <w:b/>
          <w:bCs/>
        </w:rPr>
        <w:t xml:space="preserve">ETQ10. Do you have any views on whether the Innovative Delivery Incentive and/or SO:TO ODI-F should </w:t>
      </w:r>
      <w:proofErr w:type="gramStart"/>
      <w:r w:rsidRPr="005E3E41">
        <w:rPr>
          <w:b/>
          <w:bCs/>
        </w:rPr>
        <w:t>be used</w:t>
      </w:r>
      <w:proofErr w:type="gramEnd"/>
      <w:r w:rsidRPr="005E3E41">
        <w:rPr>
          <w:b/>
          <w:bCs/>
        </w:rPr>
        <w:t xml:space="preserve"> to incentivise TO action regarding transmission losses? </w:t>
      </w:r>
    </w:p>
    <w:p w14:paraId="7077E127" w14:textId="065D5842" w:rsidR="00EF745F" w:rsidRPr="00197747" w:rsidRDefault="003F0D52" w:rsidP="00C738FA">
      <w:r w:rsidRPr="00197747">
        <w:t xml:space="preserve">We </w:t>
      </w:r>
      <w:r w:rsidR="00A901E8" w:rsidRPr="00197747">
        <w:t xml:space="preserve">are pleased that Ofgem are seeking </w:t>
      </w:r>
      <w:r w:rsidR="0082026C" w:rsidRPr="00197747">
        <w:t>views on what increased role the TOs could play in managing the risks associated with increasing losses</w:t>
      </w:r>
      <w:r w:rsidR="00A901E8" w:rsidRPr="00197747">
        <w:t xml:space="preserve">. </w:t>
      </w:r>
      <w:r w:rsidR="00C61532" w:rsidRPr="00197747">
        <w:t>As with distribution</w:t>
      </w:r>
      <w:r w:rsidR="00BD3773" w:rsidRPr="00197747">
        <w:t>,</w:t>
      </w:r>
      <w:r w:rsidR="00C61532" w:rsidRPr="00197747">
        <w:t xml:space="preserve"> one area that we would highlight is in relation to gaining a better understanding on where and when losses occur on the </w:t>
      </w:r>
      <w:r w:rsidR="0013088D" w:rsidRPr="00197747">
        <w:t xml:space="preserve">transmission </w:t>
      </w:r>
      <w:r w:rsidR="00C61532" w:rsidRPr="00197747">
        <w:t>network</w:t>
      </w:r>
      <w:r w:rsidR="006D6C7B" w:rsidRPr="00197747">
        <w:t xml:space="preserve">. </w:t>
      </w:r>
      <w:proofErr w:type="gramStart"/>
      <w:r w:rsidR="006D6C7B" w:rsidRPr="00197747">
        <w:t>Having an understanding of</w:t>
      </w:r>
      <w:proofErr w:type="gramEnd"/>
      <w:r w:rsidR="006D6C7B" w:rsidRPr="00197747">
        <w:t xml:space="preserve"> peak losses (rather than</w:t>
      </w:r>
      <w:r w:rsidR="009104C3" w:rsidRPr="00197747">
        <w:t xml:space="preserve"> just</w:t>
      </w:r>
      <w:r w:rsidR="006A006D" w:rsidRPr="00197747">
        <w:t xml:space="preserve"> overall </w:t>
      </w:r>
      <w:r w:rsidR="00B21EDB" w:rsidRPr="00197747">
        <w:t xml:space="preserve">% </w:t>
      </w:r>
      <w:r w:rsidR="006A006D" w:rsidRPr="00197747">
        <w:t>losses</w:t>
      </w:r>
      <w:r w:rsidR="006D6C7B" w:rsidRPr="00197747">
        <w:t xml:space="preserve"> </w:t>
      </w:r>
      <w:r w:rsidR="00B21EDB" w:rsidRPr="00197747">
        <w:t xml:space="preserve">across the year) </w:t>
      </w:r>
      <w:r w:rsidR="006D6C7B" w:rsidRPr="00197747">
        <w:t>is key to understanding the system</w:t>
      </w:r>
      <w:r w:rsidR="006A006D" w:rsidRPr="00197747">
        <w:t xml:space="preserve"> capacity</w:t>
      </w:r>
      <w:r w:rsidR="006D6C7B" w:rsidRPr="00197747">
        <w:t xml:space="preserve"> impacts</w:t>
      </w:r>
      <w:r w:rsidR="006A006D" w:rsidRPr="00197747">
        <w:t xml:space="preserve">. </w:t>
      </w:r>
      <w:r w:rsidR="00EF745F" w:rsidRPr="00197747">
        <w:t xml:space="preserve">Our sense is that this </w:t>
      </w:r>
      <w:proofErr w:type="gramStart"/>
      <w:r w:rsidR="00EF745F" w:rsidRPr="00197747">
        <w:t>is still not well understood</w:t>
      </w:r>
      <w:proofErr w:type="gramEnd"/>
      <w:r w:rsidR="00640873" w:rsidRPr="00197747">
        <w:rPr>
          <w:rStyle w:val="FootnoteReference"/>
        </w:rPr>
        <w:footnoteReference w:id="11"/>
      </w:r>
      <w:r w:rsidR="00EF745F" w:rsidRPr="00197747">
        <w:t>.</w:t>
      </w:r>
    </w:p>
    <w:p w14:paraId="753F8B98" w14:textId="77777777" w:rsidR="00E506F3" w:rsidRDefault="002C16A3" w:rsidP="00C738FA">
      <w:r w:rsidRPr="00197747">
        <w:t xml:space="preserve">While TOs do have an obligation to take account of losses in their procurement decisions we are unclear </w:t>
      </w:r>
      <w:r w:rsidR="002B368C" w:rsidRPr="00197747">
        <w:t xml:space="preserve">how </w:t>
      </w:r>
      <w:proofErr w:type="gramStart"/>
      <w:r w:rsidR="002B368C" w:rsidRPr="00197747">
        <w:t>much</w:t>
      </w:r>
      <w:proofErr w:type="gramEnd"/>
      <w:r w:rsidR="002B368C" w:rsidRPr="00197747">
        <w:t xml:space="preserve"> weight this </w:t>
      </w:r>
      <w:proofErr w:type="gramStart"/>
      <w:r w:rsidR="002B368C" w:rsidRPr="00197747">
        <w:t>is given</w:t>
      </w:r>
      <w:proofErr w:type="gramEnd"/>
      <w:r w:rsidR="002B368C" w:rsidRPr="00197747">
        <w:t xml:space="preserve"> in practice and would encourage Ofgem to ask questions in this area</w:t>
      </w:r>
      <w:r w:rsidR="00FE0EB4">
        <w:t xml:space="preserve"> to ensure that low loss and super low loss options are </w:t>
      </w:r>
      <w:proofErr w:type="gramStart"/>
      <w:r w:rsidR="00FE0EB4">
        <w:t>being considered</w:t>
      </w:r>
      <w:proofErr w:type="gramEnd"/>
      <w:r w:rsidR="002B368C" w:rsidRPr="00197747">
        <w:t>.</w:t>
      </w:r>
      <w:r w:rsidR="00BD3690">
        <w:t xml:space="preserve"> </w:t>
      </w:r>
    </w:p>
    <w:p w14:paraId="21DB4D77" w14:textId="77777777" w:rsidR="00E506F3" w:rsidRDefault="00E506F3" w:rsidP="00E506F3">
      <w:r>
        <w:t>As set out in our commentary Ofgem should also ensure that the CBA framework properly takes account of the whole system costs of losses – not just their carbon impact – as this will be key to the networks being able to justify increased costs for low loss equipment as part of ASTI proposals, for example.</w:t>
      </w:r>
    </w:p>
    <w:p w14:paraId="30E09A10" w14:textId="2A79DA6F" w:rsidR="00A70AB2" w:rsidRPr="00197747" w:rsidRDefault="0055307E" w:rsidP="00C738FA">
      <w:r w:rsidRPr="00197747">
        <w:t>T</w:t>
      </w:r>
      <w:r w:rsidR="0082026C" w:rsidRPr="00197747">
        <w:t xml:space="preserve">he newly proposed Innovative Delivery Incentive </w:t>
      </w:r>
      <w:r w:rsidRPr="00197747">
        <w:t xml:space="preserve">would seem to offer </w:t>
      </w:r>
      <w:proofErr w:type="gramStart"/>
      <w:r w:rsidRPr="00197747">
        <w:t>some</w:t>
      </w:r>
      <w:proofErr w:type="gramEnd"/>
      <w:r w:rsidRPr="00197747">
        <w:t xml:space="preserve"> potential </w:t>
      </w:r>
      <w:r w:rsidR="00A70AB2" w:rsidRPr="00197747">
        <w:t xml:space="preserve">for funding for </w:t>
      </w:r>
      <w:r w:rsidR="00AF1C11" w:rsidRPr="00197747">
        <w:t xml:space="preserve">innovative approaches to investment, recognising that </w:t>
      </w:r>
      <w:r w:rsidR="00197747" w:rsidRPr="00197747">
        <w:t xml:space="preserve">this is </w:t>
      </w:r>
      <w:r w:rsidR="0099342B">
        <w:t xml:space="preserve">often </w:t>
      </w:r>
      <w:r w:rsidR="00197747" w:rsidRPr="00197747">
        <w:t xml:space="preserve">about finding ways to better manage competing objectives, not simply about reducing losses. </w:t>
      </w:r>
    </w:p>
    <w:p w14:paraId="4C2FE28B" w14:textId="19CA5E52" w:rsidR="00F06C77" w:rsidRDefault="002B368C" w:rsidP="00C738FA">
      <w:r w:rsidRPr="00197747">
        <w:t xml:space="preserve">On the </w:t>
      </w:r>
      <w:r w:rsidR="0082026C" w:rsidRPr="00197747">
        <w:t xml:space="preserve">SO:TO ODI-F </w:t>
      </w:r>
      <w:r w:rsidRPr="00197747">
        <w:t xml:space="preserve">we </w:t>
      </w:r>
      <w:r w:rsidR="00411933">
        <w:t xml:space="preserve">can see that this could be of value </w:t>
      </w:r>
      <w:r w:rsidR="006E343E">
        <w:t xml:space="preserve">in encouraging more </w:t>
      </w:r>
      <w:r w:rsidR="00FD2180">
        <w:t>effective inter-working</w:t>
      </w:r>
      <w:r w:rsidR="006E343E">
        <w:t xml:space="preserve"> between the SO and TOs </w:t>
      </w:r>
      <w:r w:rsidR="00FD2180">
        <w:t xml:space="preserve">on this issue. </w:t>
      </w:r>
      <w:r w:rsidR="00B00AAB">
        <w:t>However,</w:t>
      </w:r>
      <w:r w:rsidR="00FD2180">
        <w:t xml:space="preserve"> we </w:t>
      </w:r>
      <w:r w:rsidRPr="00197747">
        <w:t xml:space="preserve">are </w:t>
      </w:r>
      <w:r w:rsidR="00751D58">
        <w:t xml:space="preserve">aware that for this </w:t>
      </w:r>
      <w:r w:rsidR="0001074B">
        <w:t xml:space="preserve">incentive </w:t>
      </w:r>
      <w:r w:rsidR="00751D58">
        <w:t xml:space="preserve">to </w:t>
      </w:r>
      <w:proofErr w:type="gramStart"/>
      <w:r w:rsidR="00751D58">
        <w:t xml:space="preserve">be </w:t>
      </w:r>
      <w:r w:rsidR="0001074B">
        <w:t>used</w:t>
      </w:r>
      <w:proofErr w:type="gramEnd"/>
      <w:r w:rsidR="00500271">
        <w:t xml:space="preserve">, the NESO must be actively looking to address </w:t>
      </w:r>
      <w:r w:rsidR="00DD7D93">
        <w:t xml:space="preserve">relevant issues. As noted above we have real concerns about the NESO’s current position on losses </w:t>
      </w:r>
      <w:r w:rsidR="00B741EB">
        <w:t xml:space="preserve">and </w:t>
      </w:r>
      <w:r w:rsidR="00F06C77">
        <w:t xml:space="preserve">Ofgem must address this </w:t>
      </w:r>
      <w:r w:rsidR="001E680E">
        <w:t>first</w:t>
      </w:r>
      <w:r w:rsidR="001B2F92">
        <w:t xml:space="preserve"> before use of this ODI can </w:t>
      </w:r>
      <w:proofErr w:type="gramStart"/>
      <w:r w:rsidR="001B2F92">
        <w:t>be considered</w:t>
      </w:r>
      <w:proofErr w:type="gramEnd"/>
      <w:r w:rsidR="00411933">
        <w:t>.</w:t>
      </w:r>
      <w:r w:rsidR="00F06C77">
        <w:t xml:space="preserve"> </w:t>
      </w:r>
    </w:p>
    <w:p w14:paraId="2FE8EED7" w14:textId="77777777" w:rsidR="00C738FA" w:rsidRPr="00961050" w:rsidRDefault="00C738FA" w:rsidP="00C738FA">
      <w:pPr>
        <w:rPr>
          <w:b/>
          <w:bCs/>
        </w:rPr>
      </w:pPr>
      <w:r w:rsidRPr="00961050">
        <w:rPr>
          <w:b/>
          <w:bCs/>
        </w:rPr>
        <w:t xml:space="preserve">ETQ11. Do you have any views on our proposed approach to biodiversity funding, notably whether it is appropriate or not for consumers to fund biodiversity outputs beyond legislative requirements? </w:t>
      </w:r>
    </w:p>
    <w:p w14:paraId="3644DE31" w14:textId="29385677" w:rsidR="00961050" w:rsidRDefault="000F3DAE" w:rsidP="00C738FA">
      <w:r>
        <w:t>We strongly disagree with Ofgem’s position here, and support proposals from all transmission companies to go further: indeed</w:t>
      </w:r>
      <w:r w:rsidR="00961050">
        <w:t>,</w:t>
      </w:r>
      <w:r>
        <w:t xml:space="preserve"> we note that NGOs had pressed these companies to go further still in their business plans</w:t>
      </w:r>
      <w:proofErr w:type="gramStart"/>
      <w:r>
        <w:t xml:space="preserve">.  </w:t>
      </w:r>
      <w:proofErr w:type="gramEnd"/>
    </w:p>
    <w:p w14:paraId="1DC10D10" w14:textId="37B561AB" w:rsidR="00961050" w:rsidRDefault="00961050" w:rsidP="00C738FA">
      <w:r>
        <w:t xml:space="preserve">We support both: going beyond BNG where appropriate and where BNG applies </w:t>
      </w:r>
      <w:r w:rsidR="00B00AAB">
        <w:t>(</w:t>
      </w:r>
      <w:proofErr w:type="gramStart"/>
      <w:r>
        <w:t>essentially in</w:t>
      </w:r>
      <w:proofErr w:type="gramEnd"/>
      <w:r>
        <w:t xml:space="preserve"> England) and </w:t>
      </w:r>
      <w:r w:rsidR="00B00AAB">
        <w:t xml:space="preserve">wider </w:t>
      </w:r>
      <w:r>
        <w:t>biodiversity proposals in areas where BNG does not apply (across the piece in Wales and Scotland, and in England where there is no formal planning application).</w:t>
      </w:r>
    </w:p>
    <w:p w14:paraId="23DDF727" w14:textId="2911C17B" w:rsidR="000B4025" w:rsidRDefault="000F3DAE" w:rsidP="00C738FA">
      <w:r>
        <w:t xml:space="preserve">We note that Ofgem’s approach in the draft determination  is inconsistent both with their approach at RIIO2 and Ofwat’s approach in PR24. We also cannot see how it is consistent with </w:t>
      </w:r>
      <w:r w:rsidR="00961050">
        <w:t xml:space="preserve">wider legislative requirements: including </w:t>
      </w:r>
      <w:r>
        <w:t xml:space="preserve">the requirements on public authorities </w:t>
      </w:r>
      <w:r w:rsidR="00961050">
        <w:t xml:space="preserve">(including Ofgem) </w:t>
      </w:r>
      <w:proofErr w:type="gramStart"/>
      <w:r w:rsidR="00961050">
        <w:t>with regard to</w:t>
      </w:r>
      <w:proofErr w:type="gramEnd"/>
      <w:r w:rsidR="00961050">
        <w:t xml:space="preserve"> biodiversity/nature</w:t>
      </w:r>
      <w:r>
        <w:t xml:space="preserve"> under the Environment Act and (</w:t>
      </w:r>
      <w:proofErr w:type="gramStart"/>
      <w:r>
        <w:t>with regard to</w:t>
      </w:r>
      <w:proofErr w:type="gramEnd"/>
      <w:r>
        <w:t xml:space="preserve"> protected landscapes) under the Levelling Up Act. It also appears to fly in the fact of Defra and </w:t>
      </w:r>
      <w:r>
        <w:lastRenderedPageBreak/>
        <w:t>Desnz targets and commitments on behalf of the English Government</w:t>
      </w:r>
      <w:r w:rsidR="00961050">
        <w:t>, including specifically on electricity transmission</w:t>
      </w:r>
      <w:r>
        <w:t>.</w:t>
      </w:r>
    </w:p>
    <w:p w14:paraId="1B290EF8" w14:textId="7F48075F" w:rsidR="000F3DAE" w:rsidRDefault="000F3DAE" w:rsidP="00C738FA">
      <w:r>
        <w:t xml:space="preserve">The document and slide deck, links to which are attached, set out the wide body of evidence for customer support for paying additionally for nature, and the customer value which this generates </w:t>
      </w:r>
      <w:r w:rsidR="00961050">
        <w:t>– including in terms of Carbon benefits, amenity/recreation, flood reduction and in terms of reducing opposition to/appeals against new transmission. These arguments also appear in the Treasury</w:t>
      </w:r>
      <w:r>
        <w:t xml:space="preserve"> </w:t>
      </w:r>
      <w:r w:rsidR="00961050">
        <w:t>G</w:t>
      </w:r>
      <w:r>
        <w:t xml:space="preserve">reen </w:t>
      </w:r>
      <w:r w:rsidR="00B00AAB">
        <w:t>Book and</w:t>
      </w:r>
      <w:r>
        <w:t xml:space="preserve"> </w:t>
      </w:r>
      <w:r w:rsidR="00961050">
        <w:t xml:space="preserve">reflect </w:t>
      </w:r>
      <w:r>
        <w:t>the government’s commitment to natural capital approaches.</w:t>
      </w:r>
    </w:p>
    <w:p w14:paraId="1DA53E04" w14:textId="0A39F8CE" w:rsidR="00961050" w:rsidRDefault="00961050" w:rsidP="00C738FA">
      <w:r>
        <w:t xml:space="preserve">We also believe that the transmission network has the potential to be a </w:t>
      </w:r>
      <w:r w:rsidR="006454B0">
        <w:t>s</w:t>
      </w:r>
      <w:r>
        <w:t xml:space="preserve">ignificant role to play in developing biodiversity corridors and therefore </w:t>
      </w:r>
      <w:r w:rsidR="006454B0">
        <w:t xml:space="preserve">helping develop nature’s resilience to climate change. Other national networks </w:t>
      </w:r>
      <w:r w:rsidR="00B00AAB">
        <w:t xml:space="preserve">– for example in transport - </w:t>
      </w:r>
      <w:r w:rsidR="006454B0">
        <w:t xml:space="preserve">are already taking this seriously. </w:t>
      </w:r>
    </w:p>
    <w:p w14:paraId="773B5E3C" w14:textId="6D0ABBB1" w:rsidR="000F3DAE" w:rsidRDefault="00961050" w:rsidP="00C738FA">
      <w:r>
        <w:t xml:space="preserve">We believe, that while material in terms of cost, </w:t>
      </w:r>
      <w:r w:rsidR="006454B0">
        <w:t>it</w:t>
      </w:r>
      <w:r w:rsidR="00B00AAB">
        <w:t xml:space="preserve"> </w:t>
      </w:r>
      <w:r w:rsidR="006454B0">
        <w:t>is</w:t>
      </w:r>
      <w:r>
        <w:t xml:space="preserve"> appropriate for Ofgem to fund </w:t>
      </w:r>
      <w:r w:rsidR="006454B0">
        <w:t xml:space="preserve">non statutory BNG </w:t>
      </w:r>
      <w:r>
        <w:t xml:space="preserve">through the ET final determination, </w:t>
      </w:r>
      <w:r w:rsidR="006454B0">
        <w:t>particularly since the</w:t>
      </w:r>
      <w:r>
        <w:t xml:space="preserve"> impact on bills is in fact </w:t>
      </w:r>
      <w:proofErr w:type="gramStart"/>
      <w:r>
        <w:t>very small</w:t>
      </w:r>
      <w:proofErr w:type="gramEnd"/>
      <w:r>
        <w:t>, less than 10p per customer per year.</w:t>
      </w:r>
    </w:p>
    <w:p w14:paraId="0250FAD0" w14:textId="0E5D250B" w:rsidR="00961050" w:rsidRPr="005575D1" w:rsidRDefault="00B00AAB" w:rsidP="00C738FA">
      <w:r>
        <w:t xml:space="preserve">More detail can be found in: </w:t>
      </w:r>
      <w:hyperlink r:id="rId15" w:history="1">
        <w:r w:rsidRPr="00B00AAB">
          <w:rPr>
            <w:color w:val="0000FF"/>
            <w:u w:val="single"/>
          </w:rPr>
          <w:t>Nature-Based Solutions and Public Support for Biodiversity and Carbon in the RIIO-3 Context | Sustainability First</w:t>
        </w:r>
      </w:hyperlink>
    </w:p>
    <w:p w14:paraId="161F6B06" w14:textId="10F9657E" w:rsidR="00C738FA" w:rsidRPr="00D3705E" w:rsidRDefault="00C738FA" w:rsidP="00C738FA">
      <w:pPr>
        <w:rPr>
          <w:b/>
          <w:bCs/>
        </w:rPr>
      </w:pPr>
      <w:r w:rsidRPr="00D3705E">
        <w:rPr>
          <w:b/>
          <w:bCs/>
        </w:rPr>
        <w:t xml:space="preserve">ETQ12. What are your views on our consultation position for the IIG ODI-F target methodology in RIIO-ET3, </w:t>
      </w:r>
      <w:proofErr w:type="gramStart"/>
      <w:r w:rsidRPr="00D3705E">
        <w:rPr>
          <w:b/>
          <w:bCs/>
        </w:rPr>
        <w:t>in particular the</w:t>
      </w:r>
      <w:proofErr w:type="gramEnd"/>
      <w:r w:rsidRPr="00D3705E">
        <w:rPr>
          <w:b/>
          <w:bCs/>
        </w:rPr>
        <w:t xml:space="preserve"> bespoke treatment of SHET? </w:t>
      </w:r>
    </w:p>
    <w:p w14:paraId="1931E235" w14:textId="3DC08A82" w:rsidR="000249F7" w:rsidRDefault="000249F7" w:rsidP="00C738FA">
      <w:r>
        <w:t>We are pleased</w:t>
      </w:r>
      <w:r w:rsidR="00296472">
        <w:t xml:space="preserve"> that</w:t>
      </w:r>
      <w:r w:rsidR="009A2078">
        <w:t xml:space="preserve">, under the proposed methodology, </w:t>
      </w:r>
      <w:r w:rsidR="00296472">
        <w:t>the</w:t>
      </w:r>
      <w:r w:rsidR="00142777">
        <w:t xml:space="preserve"> </w:t>
      </w:r>
      <w:r w:rsidR="00296472">
        <w:t>targets now reflect more stretching ambitions</w:t>
      </w:r>
      <w:r w:rsidR="004D274D">
        <w:t xml:space="preserve"> than was the case in ET2</w:t>
      </w:r>
      <w:r w:rsidR="00296472">
        <w:t>,</w:t>
      </w:r>
      <w:r w:rsidR="004D274D">
        <w:t xml:space="preserve"> and that these have </w:t>
      </w:r>
      <w:proofErr w:type="gramStart"/>
      <w:r w:rsidR="004D274D">
        <w:t>been</w:t>
      </w:r>
      <w:r w:rsidR="00296472">
        <w:t xml:space="preserve"> aligned</w:t>
      </w:r>
      <w:proofErr w:type="gramEnd"/>
      <w:r w:rsidR="00296472">
        <w:t xml:space="preserve"> to the company science</w:t>
      </w:r>
      <w:r w:rsidR="000B4025">
        <w:t>-</w:t>
      </w:r>
      <w:r w:rsidR="00296472">
        <w:t>based target</w:t>
      </w:r>
      <w:r w:rsidR="004D274D">
        <w:t>s</w:t>
      </w:r>
      <w:r w:rsidR="00376387">
        <w:t>.</w:t>
      </w:r>
    </w:p>
    <w:p w14:paraId="39C9BA72" w14:textId="67DCE57E" w:rsidR="00376387" w:rsidRDefault="00376387" w:rsidP="00C738FA">
      <w:r>
        <w:t xml:space="preserve">We support the </w:t>
      </w:r>
      <w:r w:rsidR="007F0B67">
        <w:t xml:space="preserve">bespoke treatment of SHET given the </w:t>
      </w:r>
      <w:proofErr w:type="gramStart"/>
      <w:r w:rsidR="007F0B67">
        <w:t>very different</w:t>
      </w:r>
      <w:proofErr w:type="gramEnd"/>
      <w:r w:rsidR="007F0B67">
        <w:t xml:space="preserve"> starting position they are in</w:t>
      </w:r>
      <w:r w:rsidR="00142777">
        <w:t>, with leakage rates that are already sector leading</w:t>
      </w:r>
      <w:r w:rsidR="007F0B67">
        <w:t xml:space="preserve"> (as set out in the </w:t>
      </w:r>
      <w:r w:rsidR="002D55B7">
        <w:t>Green Grids report referenced above).</w:t>
      </w:r>
      <w:r w:rsidR="000B4025">
        <w:t xml:space="preserve"> </w:t>
      </w:r>
    </w:p>
    <w:p w14:paraId="1D6CA9B0" w14:textId="29A02CB1" w:rsidR="00542826" w:rsidRDefault="00BE1505" w:rsidP="00C738FA">
      <w:r>
        <w:t xml:space="preserve">One continuing concern that we have </w:t>
      </w:r>
      <w:r w:rsidR="00A97501">
        <w:t>is the use of top-up as a measure of leakage. A</w:t>
      </w:r>
      <w:r>
        <w:t xml:space="preserve">s set out in </w:t>
      </w:r>
      <w:r w:rsidR="00A97501">
        <w:t xml:space="preserve">the Green Grids report </w:t>
      </w:r>
      <w:r w:rsidR="009F4815">
        <w:t xml:space="preserve">there is a concern that this understates the level of leakage. At one point </w:t>
      </w:r>
      <w:r w:rsidR="000D2FDF">
        <w:t xml:space="preserve">historically </w:t>
      </w:r>
      <w:r w:rsidR="009F4815">
        <w:t xml:space="preserve">SHET </w:t>
      </w:r>
      <w:r w:rsidR="000865E0">
        <w:t xml:space="preserve">used top-up plus boiler plate leakage (to reflect the low level “BAU” </w:t>
      </w:r>
      <w:r w:rsidR="00C91A54">
        <w:t xml:space="preserve">level of leakage). When it changed </w:t>
      </w:r>
      <w:r w:rsidR="000D2FDF">
        <w:t xml:space="preserve">its metric </w:t>
      </w:r>
      <w:r w:rsidR="00C91A54">
        <w:t xml:space="preserve">to align with the rest of industry in </w:t>
      </w:r>
      <w:r w:rsidR="00F51010">
        <w:t xml:space="preserve">just </w:t>
      </w:r>
      <w:r w:rsidR="00C91A54">
        <w:t>using top-up</w:t>
      </w:r>
      <w:r w:rsidR="0019429D">
        <w:t>,</w:t>
      </w:r>
      <w:r w:rsidR="00F51010">
        <w:t xml:space="preserve"> </w:t>
      </w:r>
      <w:r w:rsidR="00C91A54">
        <w:t xml:space="preserve">its </w:t>
      </w:r>
      <w:r w:rsidR="0019429D">
        <w:t xml:space="preserve">reported </w:t>
      </w:r>
      <w:r w:rsidR="00C91A54">
        <w:t xml:space="preserve">emissions </w:t>
      </w:r>
      <w:r w:rsidR="00A3669A">
        <w:t>dropped markedly. While we understand that there is not currently a robust alternative measure</w:t>
      </w:r>
      <w:r w:rsidR="00937B6C">
        <w:t xml:space="preserve"> we would like</w:t>
      </w:r>
      <w:r w:rsidR="008560A6">
        <w:t xml:space="preserve"> Ofgem to explore with industry how </w:t>
      </w:r>
      <w:r w:rsidR="00176DFD">
        <w:t>with</w:t>
      </w:r>
      <w:r w:rsidR="008560A6">
        <w:t xml:space="preserve"> </w:t>
      </w:r>
      <w:r w:rsidR="00F51010">
        <w:t xml:space="preserve">more </w:t>
      </w:r>
      <w:r w:rsidR="008560A6">
        <w:t xml:space="preserve">monitoring equipment </w:t>
      </w:r>
      <w:r w:rsidR="00176DFD">
        <w:t>and sensors</w:t>
      </w:r>
      <w:r w:rsidR="005C7779">
        <w:t xml:space="preserve"> </w:t>
      </w:r>
      <w:proofErr w:type="gramStart"/>
      <w:r w:rsidR="005C7779">
        <w:t>being installed</w:t>
      </w:r>
      <w:proofErr w:type="gramEnd"/>
      <w:r w:rsidR="00176DFD">
        <w:t xml:space="preserve">, the current metrics </w:t>
      </w:r>
      <w:r w:rsidR="0019429D">
        <w:t xml:space="preserve">based on top-up </w:t>
      </w:r>
      <w:r w:rsidR="00176DFD">
        <w:t xml:space="preserve">could </w:t>
      </w:r>
      <w:proofErr w:type="gramStart"/>
      <w:r w:rsidR="00176DFD">
        <w:t xml:space="preserve">be </w:t>
      </w:r>
      <w:r w:rsidR="00542826">
        <w:t>validated</w:t>
      </w:r>
      <w:proofErr w:type="gramEnd"/>
      <w:r w:rsidR="00542826">
        <w:t xml:space="preserve"> and / or improved over ET3.</w:t>
      </w:r>
    </w:p>
    <w:p w14:paraId="77F09C32" w14:textId="4EB623E5" w:rsidR="00882326" w:rsidRDefault="00882326" w:rsidP="00C738FA">
      <w:r>
        <w:t>We would also ask Ofgem to ensure that in focussing o</w:t>
      </w:r>
      <w:r w:rsidR="00CF1B28">
        <w:t xml:space="preserve">n top-up as a metric it </w:t>
      </w:r>
      <w:r w:rsidR="009E65C2">
        <w:t>still encourages</w:t>
      </w:r>
      <w:r w:rsidR="00CF1B28">
        <w:t xml:space="preserve"> innovations around </w:t>
      </w:r>
      <w:r w:rsidR="00647A50">
        <w:t xml:space="preserve">capture of </w:t>
      </w:r>
      <w:r w:rsidR="00D920A8">
        <w:t xml:space="preserve">leaked </w:t>
      </w:r>
      <w:r w:rsidR="00647A50">
        <w:t xml:space="preserve">SF6 leakage (which could then </w:t>
      </w:r>
      <w:proofErr w:type="gramStart"/>
      <w:r w:rsidR="00647A50">
        <w:t>be recycled</w:t>
      </w:r>
      <w:proofErr w:type="gramEnd"/>
      <w:r w:rsidR="00647A50">
        <w:t>)</w:t>
      </w:r>
      <w:r w:rsidR="00D920A8">
        <w:t xml:space="preserve">. </w:t>
      </w:r>
      <w:r w:rsidR="0095445E">
        <w:t xml:space="preserve">Under the current formulation </w:t>
      </w:r>
      <w:proofErr w:type="gramStart"/>
      <w:r w:rsidR="0095445E">
        <w:t>it would seem that this</w:t>
      </w:r>
      <w:proofErr w:type="gramEnd"/>
      <w:r w:rsidR="0095445E">
        <w:t xml:space="preserve"> would still </w:t>
      </w:r>
      <w:proofErr w:type="gramStart"/>
      <w:r w:rsidR="0095445E">
        <w:t>be counted</w:t>
      </w:r>
      <w:proofErr w:type="gramEnd"/>
      <w:r w:rsidR="0095445E">
        <w:t xml:space="preserve"> as leakage (despite not going into the atmosphere).</w:t>
      </w:r>
    </w:p>
    <w:p w14:paraId="5C0F4E3A" w14:textId="77777777" w:rsidR="0095445E" w:rsidRDefault="0095445E" w:rsidP="00C738FA"/>
    <w:p w14:paraId="4E599281" w14:textId="77777777" w:rsidR="00C738FA" w:rsidRPr="0095445E" w:rsidRDefault="00C738FA" w:rsidP="00C738FA">
      <w:pPr>
        <w:rPr>
          <w:b/>
          <w:bCs/>
        </w:rPr>
      </w:pPr>
      <w:r w:rsidRPr="0095445E">
        <w:rPr>
          <w:b/>
          <w:bCs/>
        </w:rPr>
        <w:t xml:space="preserve">ETQ13. Do you consider that we should use the IIG Exceptional Event mechanism to manage potential issues with historical IIG inventory data? If so, why? </w:t>
      </w:r>
    </w:p>
    <w:p w14:paraId="789D16CB" w14:textId="6F662EFA" w:rsidR="00B52AA1" w:rsidRDefault="00E155E9" w:rsidP="00C738FA">
      <w:r>
        <w:lastRenderedPageBreak/>
        <w:t>The Exceptional Events mechanism allows the networks to apply for</w:t>
      </w:r>
      <w:r w:rsidR="00A72F27">
        <w:t xml:space="preserve"> certain major leaks to </w:t>
      </w:r>
      <w:proofErr w:type="gramStart"/>
      <w:r w:rsidR="00A72F27">
        <w:t>be excluded</w:t>
      </w:r>
      <w:proofErr w:type="gramEnd"/>
      <w:r w:rsidR="00A72F27">
        <w:t xml:space="preserve"> from the</w:t>
      </w:r>
      <w:r w:rsidR="008957A8">
        <w:t xml:space="preserve"> IIG</w:t>
      </w:r>
      <w:r w:rsidR="00A72F27">
        <w:t xml:space="preserve"> </w:t>
      </w:r>
      <w:r w:rsidR="00B52AA1">
        <w:t>incentive mechanism (so penalties do not apply) when they are outside their control.</w:t>
      </w:r>
    </w:p>
    <w:p w14:paraId="4E29A306" w14:textId="77259A4B" w:rsidR="00D95936" w:rsidRDefault="00D95936" w:rsidP="00C738FA">
      <w:r>
        <w:t xml:space="preserve">We support the proposal to redefine the threshold for </w:t>
      </w:r>
      <w:r w:rsidR="003F4BFF">
        <w:t>E</w:t>
      </w:r>
      <w:r>
        <w:t xml:space="preserve">xceptional </w:t>
      </w:r>
      <w:r w:rsidR="003F4BFF">
        <w:t>E</w:t>
      </w:r>
      <w:r>
        <w:t>vents</w:t>
      </w:r>
      <w:r w:rsidR="00D1634C">
        <w:t xml:space="preserve"> to ensure that only material events are in scope</w:t>
      </w:r>
      <w:r w:rsidR="002537F7">
        <w:t xml:space="preserve"> and to encourage networks to focus on learning lessons from </w:t>
      </w:r>
      <w:r w:rsidR="007F1610">
        <w:t>one-off major leaks</w:t>
      </w:r>
      <w:r w:rsidR="002537F7">
        <w:t xml:space="preserve"> and continuing to explore how they might </w:t>
      </w:r>
      <w:proofErr w:type="gramStart"/>
      <w:r w:rsidR="002537F7">
        <w:t>be prevented / mitigated</w:t>
      </w:r>
      <w:proofErr w:type="gramEnd"/>
      <w:r w:rsidR="002537F7">
        <w:t>.</w:t>
      </w:r>
    </w:p>
    <w:p w14:paraId="2E766DD0" w14:textId="52E19DEB" w:rsidR="00452A0E" w:rsidRDefault="00452A0E" w:rsidP="00C738FA">
      <w:r>
        <w:t xml:space="preserve">We were initially concerned about the inclusion of </w:t>
      </w:r>
      <w:r w:rsidR="00B00AAB">
        <w:t>end-of-life</w:t>
      </w:r>
      <w:r>
        <w:t xml:space="preserve"> </w:t>
      </w:r>
      <w:r w:rsidR="00AF3215">
        <w:t xml:space="preserve">discrepancies in the </w:t>
      </w:r>
      <w:r w:rsidR="00B433AA">
        <w:t>E</w:t>
      </w:r>
      <w:r w:rsidR="00B92B12">
        <w:t xml:space="preserve">xceptional </w:t>
      </w:r>
      <w:r w:rsidR="00B433AA">
        <w:t>E</w:t>
      </w:r>
      <w:r w:rsidR="00B92B12">
        <w:t xml:space="preserve">vents mechanism as we believe full tracking of SF6 from </w:t>
      </w:r>
      <w:r w:rsidR="004610F4">
        <w:t>“</w:t>
      </w:r>
      <w:r w:rsidR="00B92B12">
        <w:t>cradle to grave</w:t>
      </w:r>
      <w:r w:rsidR="004610F4">
        <w:t>”</w:t>
      </w:r>
      <w:r w:rsidR="00B92B12">
        <w:t xml:space="preserve"> is an important aspect of effective</w:t>
      </w:r>
      <w:r w:rsidR="001866E8">
        <w:t xml:space="preserve"> management of emissions. </w:t>
      </w:r>
      <w:r w:rsidR="00256A91">
        <w:t>However</w:t>
      </w:r>
      <w:r w:rsidR="00F74B7C">
        <w:t>,</w:t>
      </w:r>
      <w:r w:rsidR="00256A91">
        <w:t xml:space="preserve"> we have </w:t>
      </w:r>
      <w:proofErr w:type="gramStart"/>
      <w:r w:rsidR="00256A91">
        <w:t>some</w:t>
      </w:r>
      <w:proofErr w:type="gramEnd"/>
      <w:r w:rsidR="00256A91">
        <w:t xml:space="preserve"> sympathy with the argument that for </w:t>
      </w:r>
      <w:proofErr w:type="gramStart"/>
      <w:r w:rsidR="00256A91">
        <w:t>very old</w:t>
      </w:r>
      <w:proofErr w:type="gramEnd"/>
      <w:r w:rsidR="00256A91">
        <w:t xml:space="preserve"> equipment there is a risk of records being inaccurate</w:t>
      </w:r>
      <w:r w:rsidR="00E51791">
        <w:t xml:space="preserve"> and that we would not want to discourage the networks from replacing that equipment </w:t>
      </w:r>
      <w:r w:rsidR="00E575CC">
        <w:t>(which a substantial pe</w:t>
      </w:r>
      <w:r w:rsidR="007337A1">
        <w:t xml:space="preserve">nalty under the IIG might otherwise do). </w:t>
      </w:r>
      <w:r w:rsidR="005E732B">
        <w:t>U</w:t>
      </w:r>
      <w:r w:rsidR="007337A1">
        <w:t xml:space="preserve">se of the Exceptional </w:t>
      </w:r>
      <w:r w:rsidR="00F74B7C">
        <w:t>E</w:t>
      </w:r>
      <w:r w:rsidR="007337A1">
        <w:t>vent mechanism would allow Ofgem to look at the evidence in each case</w:t>
      </w:r>
      <w:r w:rsidR="00C648D5">
        <w:t xml:space="preserve"> and as such it seems a reasonable approach. Ofgem might </w:t>
      </w:r>
      <w:r w:rsidR="0017238A">
        <w:t>also</w:t>
      </w:r>
      <w:r w:rsidR="00C648D5">
        <w:t xml:space="preserve"> want to </w:t>
      </w:r>
      <w:r w:rsidR="00016777">
        <w:t xml:space="preserve">make clear that the </w:t>
      </w:r>
      <w:r w:rsidR="003422C6">
        <w:t xml:space="preserve">mechanism can only </w:t>
      </w:r>
      <w:proofErr w:type="gramStart"/>
      <w:r w:rsidR="003422C6">
        <w:t>be used</w:t>
      </w:r>
      <w:proofErr w:type="gramEnd"/>
      <w:r w:rsidR="003422C6">
        <w:t xml:space="preserve"> for equipment installed prior to a certain date</w:t>
      </w:r>
      <w:r w:rsidR="00B24A4E">
        <w:t>.</w:t>
      </w:r>
    </w:p>
    <w:p w14:paraId="3A8185DE" w14:textId="77777777" w:rsidR="005E732B" w:rsidRDefault="005E732B" w:rsidP="00C738FA"/>
    <w:p w14:paraId="5D564A16" w14:textId="663FD955" w:rsidR="00C738FA" w:rsidRPr="005E732B" w:rsidRDefault="00C738FA" w:rsidP="00C738FA">
      <w:pPr>
        <w:rPr>
          <w:b/>
          <w:bCs/>
        </w:rPr>
      </w:pPr>
      <w:r w:rsidRPr="005E732B">
        <w:rPr>
          <w:b/>
          <w:bCs/>
        </w:rPr>
        <w:t>ETQ14. What are your views on our consultation position for the SF6 Asset Intervention PCD in RIIO-ET3?</w:t>
      </w:r>
    </w:p>
    <w:p w14:paraId="3AC154CC" w14:textId="77777777" w:rsidR="00173767" w:rsidRDefault="00FF7ADD" w:rsidP="00C738FA">
      <w:r>
        <w:t>The PCD covers the funding that the networks need to make in replacing SF6 assets</w:t>
      </w:r>
      <w:r w:rsidR="00173767">
        <w:t xml:space="preserve"> to meet their targets under the IIG incentive.</w:t>
      </w:r>
    </w:p>
    <w:p w14:paraId="533923FB" w14:textId="2CAC14D9" w:rsidR="00B24A4E" w:rsidRDefault="00B24A4E" w:rsidP="00C738FA">
      <w:r>
        <w:t xml:space="preserve">We support the inclusion of this funding and the tracking of it through PCDs. With the stretching targets now in place </w:t>
      </w:r>
      <w:r w:rsidR="00C369C9">
        <w:t>(ref ETQ1</w:t>
      </w:r>
      <w:r w:rsidR="00F214C9">
        <w:t>2</w:t>
      </w:r>
      <w:r w:rsidR="00C369C9">
        <w:t xml:space="preserve">) </w:t>
      </w:r>
      <w:r>
        <w:t xml:space="preserve">the networks need </w:t>
      </w:r>
      <w:r w:rsidR="001D7F7A">
        <w:t>base funding for the investments to enable them to reach these levels.</w:t>
      </w:r>
    </w:p>
    <w:p w14:paraId="5265050F" w14:textId="77777777" w:rsidR="00C738FA" w:rsidRDefault="00C738FA" w:rsidP="00C738FA"/>
    <w:p w14:paraId="087FECD7" w14:textId="77777777" w:rsidR="00C738FA" w:rsidRDefault="00C738FA" w:rsidP="00C738FA"/>
    <w:p w14:paraId="2B9B2611" w14:textId="77777777" w:rsidR="00AF5C3B" w:rsidRDefault="00AF5C3B"/>
    <w:sectPr w:rsidR="00AF5C3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3A43B" w14:textId="77777777" w:rsidR="00CD3329" w:rsidRDefault="00CD3329" w:rsidP="00C738FA">
      <w:pPr>
        <w:spacing w:after="0" w:line="240" w:lineRule="auto"/>
      </w:pPr>
      <w:r>
        <w:separator/>
      </w:r>
    </w:p>
  </w:endnote>
  <w:endnote w:type="continuationSeparator" w:id="0">
    <w:p w14:paraId="4471A78C" w14:textId="77777777" w:rsidR="00CD3329" w:rsidRDefault="00CD3329" w:rsidP="00C73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0AF11" w14:textId="77777777" w:rsidR="00CD3329" w:rsidRDefault="00CD3329" w:rsidP="00C738FA">
      <w:pPr>
        <w:spacing w:after="0" w:line="240" w:lineRule="auto"/>
      </w:pPr>
      <w:r>
        <w:separator/>
      </w:r>
    </w:p>
  </w:footnote>
  <w:footnote w:type="continuationSeparator" w:id="0">
    <w:p w14:paraId="2B630ABC" w14:textId="77777777" w:rsidR="00CD3329" w:rsidRDefault="00CD3329" w:rsidP="00C738FA">
      <w:pPr>
        <w:spacing w:after="0" w:line="240" w:lineRule="auto"/>
      </w:pPr>
      <w:r>
        <w:continuationSeparator/>
      </w:r>
    </w:p>
  </w:footnote>
  <w:footnote w:id="1">
    <w:p w14:paraId="0408310C" w14:textId="1B65988C" w:rsidR="009551F8" w:rsidRDefault="009551F8">
      <w:pPr>
        <w:pStyle w:val="FootnoteText"/>
      </w:pPr>
      <w:r>
        <w:rPr>
          <w:rStyle w:val="FootnoteReference"/>
        </w:rPr>
        <w:footnoteRef/>
      </w:r>
      <w:r>
        <w:t xml:space="preserve"> </w:t>
      </w:r>
      <w:hyperlink r:id="rId1" w:history="1">
        <w:r w:rsidR="00A558F3" w:rsidRPr="009C7700">
          <w:rPr>
            <w:rStyle w:val="Hyperlink"/>
          </w:rPr>
          <w:t>https://sustainabilityfirst.org.uk/blog/empowering-communities-as-we-decarbonise-our-energy-grid/</w:t>
        </w:r>
      </w:hyperlink>
    </w:p>
    <w:p w14:paraId="58DCDCC1" w14:textId="77777777" w:rsidR="00A558F3" w:rsidRDefault="00A558F3">
      <w:pPr>
        <w:pStyle w:val="FootnoteText"/>
      </w:pPr>
    </w:p>
  </w:footnote>
  <w:footnote w:id="2">
    <w:p w14:paraId="53864C0F" w14:textId="27E154E0" w:rsidR="00310507" w:rsidRDefault="00310507">
      <w:pPr>
        <w:pStyle w:val="FootnoteText"/>
      </w:pPr>
      <w:r>
        <w:rPr>
          <w:rStyle w:val="FootnoteReference"/>
        </w:rPr>
        <w:footnoteRef/>
      </w:r>
      <w:r>
        <w:t xml:space="preserve"> </w:t>
      </w:r>
      <w:r w:rsidR="00A239A5">
        <w:t xml:space="preserve">Latest figure from AR6 - </w:t>
      </w:r>
      <w:hyperlink r:id="rId2" w:history="1">
        <w:r w:rsidR="00E7410E" w:rsidRPr="009C7700">
          <w:rPr>
            <w:rStyle w:val="Hyperlink"/>
          </w:rPr>
          <w:t>https://ghgprotocol.org/sites/default/files/2024-08/Global-Warming-Potential-Values%20%28August%202024%29.pdf</w:t>
        </w:r>
      </w:hyperlink>
    </w:p>
    <w:p w14:paraId="4575521D" w14:textId="77777777" w:rsidR="00E7410E" w:rsidRDefault="00E7410E">
      <w:pPr>
        <w:pStyle w:val="FootnoteText"/>
      </w:pPr>
    </w:p>
  </w:footnote>
  <w:footnote w:id="3">
    <w:p w14:paraId="2D5726C9" w14:textId="025CC99A" w:rsidR="00E94BC7" w:rsidRDefault="00E94BC7">
      <w:pPr>
        <w:pStyle w:val="FootnoteText"/>
      </w:pPr>
      <w:r>
        <w:rPr>
          <w:rStyle w:val="FootnoteReference"/>
        </w:rPr>
        <w:footnoteRef/>
      </w:r>
      <w:r>
        <w:t xml:space="preserve"> </w:t>
      </w:r>
      <w:hyperlink r:id="rId3" w:history="1">
        <w:r w:rsidRPr="00E02D1D">
          <w:rPr>
            <w:rStyle w:val="Hyperlink"/>
          </w:rPr>
          <w:t>https://sustainabilityfirst.org.uk/wp-content/uploads/2024/01/sf6_in_GB_networks_final_201123.pdf</w:t>
        </w:r>
      </w:hyperlink>
    </w:p>
    <w:p w14:paraId="7D430F6D" w14:textId="77777777" w:rsidR="00E94BC7" w:rsidRDefault="00E94BC7">
      <w:pPr>
        <w:pStyle w:val="FootnoteText"/>
      </w:pPr>
    </w:p>
  </w:footnote>
  <w:footnote w:id="4">
    <w:p w14:paraId="4754191A" w14:textId="1DB1EC8D" w:rsidR="00AA339C" w:rsidRDefault="00AA339C">
      <w:pPr>
        <w:pStyle w:val="FootnoteText"/>
      </w:pPr>
      <w:r>
        <w:rPr>
          <w:rStyle w:val="FootnoteReference"/>
        </w:rPr>
        <w:footnoteRef/>
      </w:r>
      <w:r w:rsidRPr="003A0AD1">
        <w:t xml:space="preserve"> </w:t>
      </w:r>
      <w:hyperlink r:id="rId4" w:history="1">
        <w:r w:rsidR="003A0AD1" w:rsidRPr="009C7700">
          <w:rPr>
            <w:rStyle w:val="Hyperlink"/>
          </w:rPr>
          <w:t>https://sustainabilityfirst.org.uk/wp-content/uploads/2022/02/Sustainability_First_-_Commentary_-_DNO_ED2_SF6_STRATEGIES_-_final09022.pdf</w:t>
        </w:r>
      </w:hyperlink>
    </w:p>
    <w:p w14:paraId="1746E64B" w14:textId="77777777" w:rsidR="003A0AD1" w:rsidRPr="003A0AD1" w:rsidRDefault="003A0AD1">
      <w:pPr>
        <w:pStyle w:val="FootnoteText"/>
      </w:pPr>
    </w:p>
  </w:footnote>
  <w:footnote w:id="5">
    <w:p w14:paraId="561DADA0" w14:textId="074A0E05" w:rsidR="003B476A" w:rsidRDefault="003B476A">
      <w:pPr>
        <w:pStyle w:val="FootnoteText"/>
      </w:pPr>
      <w:r>
        <w:rPr>
          <w:rStyle w:val="FootnoteReference"/>
        </w:rPr>
        <w:footnoteRef/>
      </w:r>
      <w:r w:rsidRPr="003B476A">
        <w:t xml:space="preserve"> </w:t>
      </w:r>
      <w:hyperlink r:id="rId5" w:history="1">
        <w:r w:rsidRPr="009C7700">
          <w:rPr>
            <w:rStyle w:val="Hyperlink"/>
          </w:rPr>
          <w:t>https://sustainabilityfirst.org.uk/wp-content/uploads/2025/04/sf-cfe-et3-plans-100225.pdf</w:t>
        </w:r>
      </w:hyperlink>
    </w:p>
    <w:p w14:paraId="1CBACDF0" w14:textId="77777777" w:rsidR="003B476A" w:rsidRPr="003B476A" w:rsidRDefault="003B476A">
      <w:pPr>
        <w:pStyle w:val="FootnoteText"/>
      </w:pPr>
    </w:p>
  </w:footnote>
  <w:footnote w:id="6">
    <w:p w14:paraId="06DD50E9" w14:textId="56A8EC07" w:rsidR="00030EE0" w:rsidRDefault="00030EE0">
      <w:pPr>
        <w:pStyle w:val="FootnoteText"/>
        <w:rPr>
          <w:lang w:val="fr-FR"/>
        </w:rPr>
      </w:pPr>
      <w:r>
        <w:rPr>
          <w:rStyle w:val="FootnoteReference"/>
        </w:rPr>
        <w:footnoteRef/>
      </w:r>
      <w:r w:rsidRPr="00220C6F">
        <w:rPr>
          <w:lang w:val="fr-FR"/>
        </w:rPr>
        <w:t xml:space="preserve"> </w:t>
      </w:r>
      <w:hyperlink r:id="rId6" w:history="1">
        <w:r w:rsidRPr="00220C6F">
          <w:rPr>
            <w:rStyle w:val="Hyperlink"/>
            <w:lang w:val="fr-FR"/>
          </w:rPr>
          <w:t>https://climate.ec.europa.eu/document/download/cfe52d31-9203-435d-b043-62f74900fd96_en?filename=policy_f-gases_stakeholders_switchgear_faq_en.pdf</w:t>
        </w:r>
      </w:hyperlink>
      <w:r w:rsidR="00220C6F" w:rsidRPr="00220C6F">
        <w:rPr>
          <w:lang w:val="fr-FR"/>
        </w:rPr>
        <w:t xml:space="preserve"> </w:t>
      </w:r>
      <w:r w:rsidR="00220C6F">
        <w:rPr>
          <w:lang w:val="fr-FR"/>
        </w:rPr>
        <w:t>–</w:t>
      </w:r>
      <w:r w:rsidR="00220C6F" w:rsidRPr="00220C6F">
        <w:rPr>
          <w:lang w:val="fr-FR"/>
        </w:rPr>
        <w:t xml:space="preserve"> Q</w:t>
      </w:r>
      <w:r w:rsidR="00220C6F">
        <w:rPr>
          <w:lang w:val="fr-FR"/>
        </w:rPr>
        <w:t>4 E</w:t>
      </w:r>
    </w:p>
    <w:p w14:paraId="77B7A15E" w14:textId="1E6D1BC0" w:rsidR="003B2BAC" w:rsidRPr="00A364A6" w:rsidRDefault="003B2BAC">
      <w:pPr>
        <w:pStyle w:val="FootnoteText"/>
      </w:pPr>
      <w:r w:rsidRPr="00A364A6">
        <w:t xml:space="preserve">Also a summary </w:t>
      </w:r>
      <w:r w:rsidR="00A364A6" w:rsidRPr="00A364A6">
        <w:t>Q&amp;A</w:t>
      </w:r>
      <w:r w:rsidR="00A364A6">
        <w:t xml:space="preserve"> produced by </w:t>
      </w:r>
      <w:r w:rsidR="00A575F8">
        <w:t>EU</w:t>
      </w:r>
      <w:r w:rsidR="00A364A6">
        <w:t xml:space="preserve"> manufacturers - </w:t>
      </w:r>
      <w:hyperlink r:id="rId7" w:history="1">
        <w:r w:rsidR="00A364A6" w:rsidRPr="00A364A6">
          <w:rPr>
            <w:rStyle w:val="Hyperlink"/>
          </w:rPr>
          <w:t>here</w:t>
        </w:r>
      </w:hyperlink>
    </w:p>
    <w:p w14:paraId="532F4686" w14:textId="17892FEC" w:rsidR="00617EDC" w:rsidRPr="00A364A6" w:rsidRDefault="00617EDC">
      <w:pPr>
        <w:pStyle w:val="FootnoteText"/>
      </w:pPr>
    </w:p>
  </w:footnote>
  <w:footnote w:id="7">
    <w:p w14:paraId="754D5CA9" w14:textId="77777777" w:rsidR="006C66D2" w:rsidRPr="0035253D" w:rsidRDefault="006C66D2" w:rsidP="006C66D2">
      <w:pPr>
        <w:pStyle w:val="FootnoteText"/>
      </w:pPr>
      <w:r>
        <w:rPr>
          <w:rStyle w:val="FootnoteReference"/>
        </w:rPr>
        <w:footnoteRef/>
      </w:r>
      <w:r w:rsidRPr="0035253D">
        <w:t xml:space="preserve"> </w:t>
      </w:r>
      <w:hyperlink r:id="rId8" w:anchor="full-publication-update-history" w:history="1">
        <w:r w:rsidRPr="0035253D">
          <w:rPr>
            <w:rStyle w:val="Hyperlink"/>
          </w:rPr>
          <w:t>https://www.gov.uk/guidance/how-to-operate-or-service-high-voltage-switchgear-containing-sf6#full-publication-update-history</w:t>
        </w:r>
      </w:hyperlink>
      <w:r w:rsidRPr="0035253D">
        <w:t xml:space="preserve"> (Update</w:t>
      </w:r>
      <w:r>
        <w:t>d arch 2025)</w:t>
      </w:r>
    </w:p>
  </w:footnote>
  <w:footnote w:id="8">
    <w:p w14:paraId="2D8DD48C" w14:textId="487827F8" w:rsidR="005770B5" w:rsidRDefault="005770B5">
      <w:pPr>
        <w:pStyle w:val="FootnoteText"/>
      </w:pPr>
      <w:r>
        <w:rPr>
          <w:rStyle w:val="FootnoteReference"/>
        </w:rPr>
        <w:footnoteRef/>
      </w:r>
      <w:r>
        <w:t xml:space="preserve"> </w:t>
      </w:r>
      <w:hyperlink r:id="rId9" w:history="1">
        <w:r w:rsidRPr="009C7700">
          <w:rPr>
            <w:rStyle w:val="Hyperlink"/>
          </w:rPr>
          <w:t>https://sustainabilityfirst.org.uk/wp-content/uploads/2025/04/sf-cfe-et3-plans-100225.pdf</w:t>
        </w:r>
      </w:hyperlink>
    </w:p>
    <w:p w14:paraId="11A9E09F" w14:textId="77777777" w:rsidR="005770B5" w:rsidRDefault="005770B5">
      <w:pPr>
        <w:pStyle w:val="FootnoteText"/>
      </w:pPr>
    </w:p>
  </w:footnote>
  <w:footnote w:id="9">
    <w:p w14:paraId="4C75FDA3" w14:textId="77777777" w:rsidR="0072637A" w:rsidRPr="0035253D" w:rsidRDefault="0072637A" w:rsidP="0072637A">
      <w:pPr>
        <w:pStyle w:val="FootnoteText"/>
      </w:pPr>
      <w:r>
        <w:rPr>
          <w:rStyle w:val="FootnoteReference"/>
        </w:rPr>
        <w:footnoteRef/>
      </w:r>
      <w:r w:rsidRPr="0035253D">
        <w:t xml:space="preserve"> </w:t>
      </w:r>
      <w:hyperlink r:id="rId10" w:history="1">
        <w:r w:rsidRPr="0035253D">
          <w:rPr>
            <w:rStyle w:val="Hyperlink"/>
          </w:rPr>
          <w:t>https://www.neso.energy/data-portal/transmission-losses</w:t>
        </w:r>
      </w:hyperlink>
    </w:p>
    <w:p w14:paraId="659030BA" w14:textId="77777777" w:rsidR="0072637A" w:rsidRPr="0035253D" w:rsidRDefault="0072637A" w:rsidP="0072637A">
      <w:pPr>
        <w:pStyle w:val="FootnoteText"/>
      </w:pPr>
    </w:p>
  </w:footnote>
  <w:footnote w:id="10">
    <w:p w14:paraId="20F8340B" w14:textId="70425DE4" w:rsidR="005718E1" w:rsidRPr="002B7B20" w:rsidRDefault="005718E1">
      <w:pPr>
        <w:pStyle w:val="FootnoteText"/>
        <w:rPr>
          <w:lang w:val="fr-FR"/>
        </w:rPr>
      </w:pPr>
      <w:r>
        <w:rPr>
          <w:rStyle w:val="FootnoteReference"/>
        </w:rPr>
        <w:footnoteRef/>
      </w:r>
      <w:r w:rsidRPr="002B7B20">
        <w:rPr>
          <w:lang w:val="fr-FR"/>
        </w:rPr>
        <w:t xml:space="preserve"> </w:t>
      </w:r>
      <w:hyperlink r:id="rId11" w:history="1">
        <w:r w:rsidR="002B7B20" w:rsidRPr="002B7B20">
          <w:rPr>
            <w:rStyle w:val="Hyperlink"/>
            <w:lang w:val="fr-FR"/>
          </w:rPr>
          <w:t>https://www.neso.energy/document/46481/download</w:t>
        </w:r>
      </w:hyperlink>
      <w:r w:rsidR="002B7B20" w:rsidRPr="002B7B20">
        <w:rPr>
          <w:lang w:val="fr-FR"/>
        </w:rPr>
        <w:t xml:space="preserve"> - condition 4I.1</w:t>
      </w:r>
    </w:p>
  </w:footnote>
  <w:footnote w:id="11">
    <w:p w14:paraId="761BC64C" w14:textId="4616A560" w:rsidR="00640873" w:rsidRPr="005718E1" w:rsidRDefault="00640873">
      <w:pPr>
        <w:pStyle w:val="FootnoteText"/>
      </w:pPr>
      <w:r>
        <w:rPr>
          <w:rStyle w:val="FootnoteReference"/>
        </w:rPr>
        <w:footnoteRef/>
      </w:r>
      <w:r w:rsidRPr="005718E1">
        <w:t xml:space="preserve"> </w:t>
      </w:r>
      <w:hyperlink r:id="rId12" w:history="1">
        <w:r w:rsidRPr="005718E1">
          <w:rPr>
            <w:rStyle w:val="Hyperlink"/>
          </w:rPr>
          <w:t>https://utilityweek.co.uk/where-did-all-that-power-go/</w:t>
        </w:r>
      </w:hyperlink>
    </w:p>
    <w:p w14:paraId="2264CC96" w14:textId="77777777" w:rsidR="00640873" w:rsidRPr="005718E1" w:rsidRDefault="00640873">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8FA"/>
    <w:rsid w:val="00005B40"/>
    <w:rsid w:val="00006FBC"/>
    <w:rsid w:val="0001074B"/>
    <w:rsid w:val="000164EA"/>
    <w:rsid w:val="00016777"/>
    <w:rsid w:val="000249F7"/>
    <w:rsid w:val="00030EE0"/>
    <w:rsid w:val="0003144F"/>
    <w:rsid w:val="000504BB"/>
    <w:rsid w:val="0005683A"/>
    <w:rsid w:val="0006389D"/>
    <w:rsid w:val="00070673"/>
    <w:rsid w:val="0007365E"/>
    <w:rsid w:val="000766FA"/>
    <w:rsid w:val="00076EB0"/>
    <w:rsid w:val="00077507"/>
    <w:rsid w:val="000865E0"/>
    <w:rsid w:val="000934EA"/>
    <w:rsid w:val="000B4025"/>
    <w:rsid w:val="000C0994"/>
    <w:rsid w:val="000D2FDF"/>
    <w:rsid w:val="000F307A"/>
    <w:rsid w:val="000F3DAE"/>
    <w:rsid w:val="00107965"/>
    <w:rsid w:val="00112DA3"/>
    <w:rsid w:val="001146AD"/>
    <w:rsid w:val="0013088D"/>
    <w:rsid w:val="00131190"/>
    <w:rsid w:val="0013756C"/>
    <w:rsid w:val="00142643"/>
    <w:rsid w:val="00142777"/>
    <w:rsid w:val="001468CB"/>
    <w:rsid w:val="00147BB4"/>
    <w:rsid w:val="0017238A"/>
    <w:rsid w:val="00173767"/>
    <w:rsid w:val="00176DFD"/>
    <w:rsid w:val="00182D5D"/>
    <w:rsid w:val="0018661F"/>
    <w:rsid w:val="001866E8"/>
    <w:rsid w:val="001913C9"/>
    <w:rsid w:val="0019429D"/>
    <w:rsid w:val="00197747"/>
    <w:rsid w:val="001A19DB"/>
    <w:rsid w:val="001A5281"/>
    <w:rsid w:val="001B2F92"/>
    <w:rsid w:val="001B6239"/>
    <w:rsid w:val="001B7797"/>
    <w:rsid w:val="001C0095"/>
    <w:rsid w:val="001D10CF"/>
    <w:rsid w:val="001D7F7A"/>
    <w:rsid w:val="001E08AE"/>
    <w:rsid w:val="001E2C6F"/>
    <w:rsid w:val="001E680E"/>
    <w:rsid w:val="001E76EB"/>
    <w:rsid w:val="001F4513"/>
    <w:rsid w:val="00220C6F"/>
    <w:rsid w:val="00223246"/>
    <w:rsid w:val="00224B2D"/>
    <w:rsid w:val="0022529E"/>
    <w:rsid w:val="00232061"/>
    <w:rsid w:val="002537F7"/>
    <w:rsid w:val="00253AE5"/>
    <w:rsid w:val="00256A91"/>
    <w:rsid w:val="00262944"/>
    <w:rsid w:val="0026674F"/>
    <w:rsid w:val="0028284D"/>
    <w:rsid w:val="00295916"/>
    <w:rsid w:val="00295EF6"/>
    <w:rsid w:val="00296472"/>
    <w:rsid w:val="00297318"/>
    <w:rsid w:val="002B088C"/>
    <w:rsid w:val="002B368C"/>
    <w:rsid w:val="002B4852"/>
    <w:rsid w:val="002B7B20"/>
    <w:rsid w:val="002C16A3"/>
    <w:rsid w:val="002C7544"/>
    <w:rsid w:val="002D4441"/>
    <w:rsid w:val="002D55B7"/>
    <w:rsid w:val="002D5EFE"/>
    <w:rsid w:val="002D60DA"/>
    <w:rsid w:val="002E741E"/>
    <w:rsid w:val="002F4442"/>
    <w:rsid w:val="002F4E9C"/>
    <w:rsid w:val="003007BD"/>
    <w:rsid w:val="00310507"/>
    <w:rsid w:val="00320937"/>
    <w:rsid w:val="00320AE8"/>
    <w:rsid w:val="00322A06"/>
    <w:rsid w:val="003422C6"/>
    <w:rsid w:val="00344520"/>
    <w:rsid w:val="0035253D"/>
    <w:rsid w:val="003659B5"/>
    <w:rsid w:val="00376387"/>
    <w:rsid w:val="00391101"/>
    <w:rsid w:val="00397556"/>
    <w:rsid w:val="003A0AD1"/>
    <w:rsid w:val="003A1B01"/>
    <w:rsid w:val="003A622F"/>
    <w:rsid w:val="003B2BAC"/>
    <w:rsid w:val="003B476A"/>
    <w:rsid w:val="003B5D9F"/>
    <w:rsid w:val="003C4840"/>
    <w:rsid w:val="003D0F1A"/>
    <w:rsid w:val="003D1694"/>
    <w:rsid w:val="003D51FB"/>
    <w:rsid w:val="003F0D52"/>
    <w:rsid w:val="003F4BFF"/>
    <w:rsid w:val="00411933"/>
    <w:rsid w:val="00425412"/>
    <w:rsid w:val="00447C4C"/>
    <w:rsid w:val="00452A0E"/>
    <w:rsid w:val="00460C13"/>
    <w:rsid w:val="004610F4"/>
    <w:rsid w:val="004655E5"/>
    <w:rsid w:val="00493EE9"/>
    <w:rsid w:val="00494E76"/>
    <w:rsid w:val="00495CCD"/>
    <w:rsid w:val="004A07AD"/>
    <w:rsid w:val="004A76D0"/>
    <w:rsid w:val="004D274D"/>
    <w:rsid w:val="004D63C2"/>
    <w:rsid w:val="004E2246"/>
    <w:rsid w:val="004F3109"/>
    <w:rsid w:val="004F43ED"/>
    <w:rsid w:val="00500271"/>
    <w:rsid w:val="005021EA"/>
    <w:rsid w:val="00505023"/>
    <w:rsid w:val="00505DDB"/>
    <w:rsid w:val="0052121A"/>
    <w:rsid w:val="00530790"/>
    <w:rsid w:val="0053613D"/>
    <w:rsid w:val="00541DAE"/>
    <w:rsid w:val="00542826"/>
    <w:rsid w:val="00550750"/>
    <w:rsid w:val="00552800"/>
    <w:rsid w:val="0055307E"/>
    <w:rsid w:val="005575D1"/>
    <w:rsid w:val="005718E1"/>
    <w:rsid w:val="005770B5"/>
    <w:rsid w:val="00590FA9"/>
    <w:rsid w:val="005A0A27"/>
    <w:rsid w:val="005A54FB"/>
    <w:rsid w:val="005A6525"/>
    <w:rsid w:val="005C1A11"/>
    <w:rsid w:val="005C7779"/>
    <w:rsid w:val="005D62F9"/>
    <w:rsid w:val="005E3E41"/>
    <w:rsid w:val="005E732B"/>
    <w:rsid w:val="005F733D"/>
    <w:rsid w:val="006105E4"/>
    <w:rsid w:val="00613E01"/>
    <w:rsid w:val="00615CDB"/>
    <w:rsid w:val="00617EDC"/>
    <w:rsid w:val="006223D8"/>
    <w:rsid w:val="00622590"/>
    <w:rsid w:val="00623BEB"/>
    <w:rsid w:val="00625B34"/>
    <w:rsid w:val="006264A3"/>
    <w:rsid w:val="0063300A"/>
    <w:rsid w:val="00640873"/>
    <w:rsid w:val="006444B4"/>
    <w:rsid w:val="006454B0"/>
    <w:rsid w:val="00647A50"/>
    <w:rsid w:val="00656B1A"/>
    <w:rsid w:val="00663BBF"/>
    <w:rsid w:val="0067062B"/>
    <w:rsid w:val="00690A75"/>
    <w:rsid w:val="006A006D"/>
    <w:rsid w:val="006A3AB8"/>
    <w:rsid w:val="006A5E3D"/>
    <w:rsid w:val="006B0E10"/>
    <w:rsid w:val="006B1D24"/>
    <w:rsid w:val="006B38B7"/>
    <w:rsid w:val="006B465E"/>
    <w:rsid w:val="006C66D2"/>
    <w:rsid w:val="006C7073"/>
    <w:rsid w:val="006D57BA"/>
    <w:rsid w:val="006D6C7B"/>
    <w:rsid w:val="006E343E"/>
    <w:rsid w:val="006E78CF"/>
    <w:rsid w:val="006F343D"/>
    <w:rsid w:val="007026D2"/>
    <w:rsid w:val="00703680"/>
    <w:rsid w:val="00713680"/>
    <w:rsid w:val="00717C0E"/>
    <w:rsid w:val="0072637A"/>
    <w:rsid w:val="007337A1"/>
    <w:rsid w:val="00734568"/>
    <w:rsid w:val="0073467F"/>
    <w:rsid w:val="00734C6C"/>
    <w:rsid w:val="00751D58"/>
    <w:rsid w:val="00761547"/>
    <w:rsid w:val="0076732F"/>
    <w:rsid w:val="007958CC"/>
    <w:rsid w:val="007B4133"/>
    <w:rsid w:val="007B625D"/>
    <w:rsid w:val="007C1719"/>
    <w:rsid w:val="007C33B7"/>
    <w:rsid w:val="007D35F4"/>
    <w:rsid w:val="007D7A2A"/>
    <w:rsid w:val="007F0B67"/>
    <w:rsid w:val="007F1610"/>
    <w:rsid w:val="0082026C"/>
    <w:rsid w:val="00824804"/>
    <w:rsid w:val="0084631B"/>
    <w:rsid w:val="008560A6"/>
    <w:rsid w:val="00857185"/>
    <w:rsid w:val="008617DC"/>
    <w:rsid w:val="0088180F"/>
    <w:rsid w:val="00882326"/>
    <w:rsid w:val="008957A8"/>
    <w:rsid w:val="008C2297"/>
    <w:rsid w:val="008C4E65"/>
    <w:rsid w:val="008D3F68"/>
    <w:rsid w:val="008D5471"/>
    <w:rsid w:val="008F7526"/>
    <w:rsid w:val="009104C3"/>
    <w:rsid w:val="009262BA"/>
    <w:rsid w:val="00934486"/>
    <w:rsid w:val="00937B6C"/>
    <w:rsid w:val="00942FD5"/>
    <w:rsid w:val="00945B9A"/>
    <w:rsid w:val="0095445E"/>
    <w:rsid w:val="009551F8"/>
    <w:rsid w:val="00961050"/>
    <w:rsid w:val="00973A1D"/>
    <w:rsid w:val="00975E9F"/>
    <w:rsid w:val="009831D7"/>
    <w:rsid w:val="009907B1"/>
    <w:rsid w:val="0099342B"/>
    <w:rsid w:val="009A1B99"/>
    <w:rsid w:val="009A2078"/>
    <w:rsid w:val="009B18E0"/>
    <w:rsid w:val="009C436F"/>
    <w:rsid w:val="009D7216"/>
    <w:rsid w:val="009E457E"/>
    <w:rsid w:val="009E65C2"/>
    <w:rsid w:val="009F4815"/>
    <w:rsid w:val="009F5094"/>
    <w:rsid w:val="009F7B1D"/>
    <w:rsid w:val="00A2218C"/>
    <w:rsid w:val="00A239A5"/>
    <w:rsid w:val="00A268F3"/>
    <w:rsid w:val="00A3639B"/>
    <w:rsid w:val="00A364A6"/>
    <w:rsid w:val="00A3669A"/>
    <w:rsid w:val="00A413E2"/>
    <w:rsid w:val="00A41D71"/>
    <w:rsid w:val="00A5316D"/>
    <w:rsid w:val="00A558F3"/>
    <w:rsid w:val="00A575F8"/>
    <w:rsid w:val="00A63981"/>
    <w:rsid w:val="00A70AB2"/>
    <w:rsid w:val="00A72C38"/>
    <w:rsid w:val="00A72F27"/>
    <w:rsid w:val="00A761B4"/>
    <w:rsid w:val="00A901E8"/>
    <w:rsid w:val="00A97501"/>
    <w:rsid w:val="00AA0E54"/>
    <w:rsid w:val="00AA339C"/>
    <w:rsid w:val="00AB3D4C"/>
    <w:rsid w:val="00AB5B82"/>
    <w:rsid w:val="00AB7B34"/>
    <w:rsid w:val="00AC589B"/>
    <w:rsid w:val="00AE6641"/>
    <w:rsid w:val="00AE75F9"/>
    <w:rsid w:val="00AF1C11"/>
    <w:rsid w:val="00AF3215"/>
    <w:rsid w:val="00AF5C3B"/>
    <w:rsid w:val="00AF7DB3"/>
    <w:rsid w:val="00B00AAB"/>
    <w:rsid w:val="00B11506"/>
    <w:rsid w:val="00B116ED"/>
    <w:rsid w:val="00B137DD"/>
    <w:rsid w:val="00B15AB2"/>
    <w:rsid w:val="00B20AAC"/>
    <w:rsid w:val="00B21EDB"/>
    <w:rsid w:val="00B24A4E"/>
    <w:rsid w:val="00B433AA"/>
    <w:rsid w:val="00B52AA1"/>
    <w:rsid w:val="00B62656"/>
    <w:rsid w:val="00B70273"/>
    <w:rsid w:val="00B70F83"/>
    <w:rsid w:val="00B7329D"/>
    <w:rsid w:val="00B741EB"/>
    <w:rsid w:val="00B92B12"/>
    <w:rsid w:val="00BB7084"/>
    <w:rsid w:val="00BC4295"/>
    <w:rsid w:val="00BC4561"/>
    <w:rsid w:val="00BD3690"/>
    <w:rsid w:val="00BD3773"/>
    <w:rsid w:val="00BE1505"/>
    <w:rsid w:val="00BE73E8"/>
    <w:rsid w:val="00BF596C"/>
    <w:rsid w:val="00C11A6F"/>
    <w:rsid w:val="00C27111"/>
    <w:rsid w:val="00C35939"/>
    <w:rsid w:val="00C369C9"/>
    <w:rsid w:val="00C40900"/>
    <w:rsid w:val="00C61532"/>
    <w:rsid w:val="00C648D5"/>
    <w:rsid w:val="00C66AB9"/>
    <w:rsid w:val="00C738FA"/>
    <w:rsid w:val="00C91A54"/>
    <w:rsid w:val="00C9527E"/>
    <w:rsid w:val="00CA0B61"/>
    <w:rsid w:val="00CA49E1"/>
    <w:rsid w:val="00CB25ED"/>
    <w:rsid w:val="00CB468B"/>
    <w:rsid w:val="00CB7792"/>
    <w:rsid w:val="00CD3329"/>
    <w:rsid w:val="00CE1D05"/>
    <w:rsid w:val="00CE7D1C"/>
    <w:rsid w:val="00CF1B28"/>
    <w:rsid w:val="00CF65D3"/>
    <w:rsid w:val="00D010A2"/>
    <w:rsid w:val="00D031CB"/>
    <w:rsid w:val="00D144A7"/>
    <w:rsid w:val="00D1634C"/>
    <w:rsid w:val="00D236E0"/>
    <w:rsid w:val="00D24BDD"/>
    <w:rsid w:val="00D27C1F"/>
    <w:rsid w:val="00D3705E"/>
    <w:rsid w:val="00D4080E"/>
    <w:rsid w:val="00D66E4C"/>
    <w:rsid w:val="00D677EB"/>
    <w:rsid w:val="00D72ACB"/>
    <w:rsid w:val="00D8729F"/>
    <w:rsid w:val="00D87C11"/>
    <w:rsid w:val="00D920A8"/>
    <w:rsid w:val="00D954E0"/>
    <w:rsid w:val="00D95936"/>
    <w:rsid w:val="00DA2867"/>
    <w:rsid w:val="00DD1C14"/>
    <w:rsid w:val="00DD3DE3"/>
    <w:rsid w:val="00DD745B"/>
    <w:rsid w:val="00DD7D93"/>
    <w:rsid w:val="00DE24F7"/>
    <w:rsid w:val="00E06728"/>
    <w:rsid w:val="00E155E9"/>
    <w:rsid w:val="00E359B7"/>
    <w:rsid w:val="00E42378"/>
    <w:rsid w:val="00E506F3"/>
    <w:rsid w:val="00E51791"/>
    <w:rsid w:val="00E575CC"/>
    <w:rsid w:val="00E73970"/>
    <w:rsid w:val="00E740BB"/>
    <w:rsid w:val="00E7410E"/>
    <w:rsid w:val="00E779C2"/>
    <w:rsid w:val="00E93C3F"/>
    <w:rsid w:val="00E94BC7"/>
    <w:rsid w:val="00EA2AA8"/>
    <w:rsid w:val="00EA3362"/>
    <w:rsid w:val="00EA5E24"/>
    <w:rsid w:val="00EA6F74"/>
    <w:rsid w:val="00EB67B2"/>
    <w:rsid w:val="00ED5B81"/>
    <w:rsid w:val="00ED7740"/>
    <w:rsid w:val="00EE2690"/>
    <w:rsid w:val="00EF5C3D"/>
    <w:rsid w:val="00EF745F"/>
    <w:rsid w:val="00F001DC"/>
    <w:rsid w:val="00F0198C"/>
    <w:rsid w:val="00F06C77"/>
    <w:rsid w:val="00F07496"/>
    <w:rsid w:val="00F128B9"/>
    <w:rsid w:val="00F214C9"/>
    <w:rsid w:val="00F37244"/>
    <w:rsid w:val="00F51010"/>
    <w:rsid w:val="00F650FD"/>
    <w:rsid w:val="00F70A66"/>
    <w:rsid w:val="00F74B7C"/>
    <w:rsid w:val="00F75006"/>
    <w:rsid w:val="00F82BED"/>
    <w:rsid w:val="00FA54F4"/>
    <w:rsid w:val="00FC058B"/>
    <w:rsid w:val="00FC60C5"/>
    <w:rsid w:val="00FD2180"/>
    <w:rsid w:val="00FD4384"/>
    <w:rsid w:val="00FE0093"/>
    <w:rsid w:val="00FE0EB4"/>
    <w:rsid w:val="00FF7AAE"/>
    <w:rsid w:val="00FF7A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49B12"/>
  <w15:chartTrackingRefBased/>
  <w15:docId w15:val="{8A7FE26A-355A-4345-BCB7-ECE26E838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8FA"/>
  </w:style>
  <w:style w:type="paragraph" w:styleId="Heading1">
    <w:name w:val="heading 1"/>
    <w:basedOn w:val="Normal"/>
    <w:next w:val="Normal"/>
    <w:link w:val="Heading1Char"/>
    <w:uiPriority w:val="9"/>
    <w:qFormat/>
    <w:rsid w:val="00C738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38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38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38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38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38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38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38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38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38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38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38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38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38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38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38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38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38FA"/>
    <w:rPr>
      <w:rFonts w:eastAsiaTheme="majorEastAsia" w:cstheme="majorBidi"/>
      <w:color w:val="272727" w:themeColor="text1" w:themeTint="D8"/>
    </w:rPr>
  </w:style>
  <w:style w:type="paragraph" w:styleId="Title">
    <w:name w:val="Title"/>
    <w:basedOn w:val="Normal"/>
    <w:next w:val="Normal"/>
    <w:link w:val="TitleChar"/>
    <w:uiPriority w:val="10"/>
    <w:qFormat/>
    <w:rsid w:val="00C738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38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38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38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38FA"/>
    <w:pPr>
      <w:spacing w:before="160"/>
      <w:jc w:val="center"/>
    </w:pPr>
    <w:rPr>
      <w:i/>
      <w:iCs/>
      <w:color w:val="404040" w:themeColor="text1" w:themeTint="BF"/>
    </w:rPr>
  </w:style>
  <w:style w:type="character" w:customStyle="1" w:styleId="QuoteChar">
    <w:name w:val="Quote Char"/>
    <w:basedOn w:val="DefaultParagraphFont"/>
    <w:link w:val="Quote"/>
    <w:uiPriority w:val="29"/>
    <w:rsid w:val="00C738FA"/>
    <w:rPr>
      <w:i/>
      <w:iCs/>
      <w:color w:val="404040" w:themeColor="text1" w:themeTint="BF"/>
    </w:rPr>
  </w:style>
  <w:style w:type="paragraph" w:styleId="ListParagraph">
    <w:name w:val="List Paragraph"/>
    <w:basedOn w:val="Normal"/>
    <w:uiPriority w:val="34"/>
    <w:qFormat/>
    <w:rsid w:val="00C738FA"/>
    <w:pPr>
      <w:ind w:left="720"/>
      <w:contextualSpacing/>
    </w:pPr>
  </w:style>
  <w:style w:type="character" w:styleId="IntenseEmphasis">
    <w:name w:val="Intense Emphasis"/>
    <w:basedOn w:val="DefaultParagraphFont"/>
    <w:uiPriority w:val="21"/>
    <w:qFormat/>
    <w:rsid w:val="00C738FA"/>
    <w:rPr>
      <w:i/>
      <w:iCs/>
      <w:color w:val="0F4761" w:themeColor="accent1" w:themeShade="BF"/>
    </w:rPr>
  </w:style>
  <w:style w:type="paragraph" w:styleId="IntenseQuote">
    <w:name w:val="Intense Quote"/>
    <w:basedOn w:val="Normal"/>
    <w:next w:val="Normal"/>
    <w:link w:val="IntenseQuoteChar"/>
    <w:uiPriority w:val="30"/>
    <w:qFormat/>
    <w:rsid w:val="00C738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38FA"/>
    <w:rPr>
      <w:i/>
      <w:iCs/>
      <w:color w:val="0F4761" w:themeColor="accent1" w:themeShade="BF"/>
    </w:rPr>
  </w:style>
  <w:style w:type="character" w:styleId="IntenseReference">
    <w:name w:val="Intense Reference"/>
    <w:basedOn w:val="DefaultParagraphFont"/>
    <w:uiPriority w:val="32"/>
    <w:qFormat/>
    <w:rsid w:val="00C738FA"/>
    <w:rPr>
      <w:b/>
      <w:bCs/>
      <w:smallCaps/>
      <w:color w:val="0F4761" w:themeColor="accent1" w:themeShade="BF"/>
      <w:spacing w:val="5"/>
    </w:rPr>
  </w:style>
  <w:style w:type="character" w:styleId="Hyperlink">
    <w:name w:val="Hyperlink"/>
    <w:basedOn w:val="DefaultParagraphFont"/>
    <w:uiPriority w:val="99"/>
    <w:unhideWhenUsed/>
    <w:rsid w:val="00C738FA"/>
    <w:rPr>
      <w:color w:val="467886" w:themeColor="hyperlink"/>
      <w:u w:val="single"/>
    </w:rPr>
  </w:style>
  <w:style w:type="paragraph" w:styleId="FootnoteText">
    <w:name w:val="footnote text"/>
    <w:basedOn w:val="Normal"/>
    <w:link w:val="FootnoteTextChar"/>
    <w:uiPriority w:val="99"/>
    <w:semiHidden/>
    <w:unhideWhenUsed/>
    <w:rsid w:val="00C738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8FA"/>
    <w:rPr>
      <w:sz w:val="20"/>
      <w:szCs w:val="20"/>
    </w:rPr>
  </w:style>
  <w:style w:type="character" w:styleId="FootnoteReference">
    <w:name w:val="footnote reference"/>
    <w:basedOn w:val="DefaultParagraphFont"/>
    <w:uiPriority w:val="99"/>
    <w:semiHidden/>
    <w:unhideWhenUsed/>
    <w:rsid w:val="00C738FA"/>
    <w:rPr>
      <w:vertAlign w:val="superscript"/>
    </w:rPr>
  </w:style>
  <w:style w:type="character" w:styleId="UnresolvedMention">
    <w:name w:val="Unresolved Mention"/>
    <w:basedOn w:val="DefaultParagraphFont"/>
    <w:uiPriority w:val="99"/>
    <w:semiHidden/>
    <w:unhideWhenUsed/>
    <w:rsid w:val="00703680"/>
    <w:rPr>
      <w:color w:val="605E5C"/>
      <w:shd w:val="clear" w:color="auto" w:fill="E1DFDD"/>
    </w:rPr>
  </w:style>
  <w:style w:type="character" w:styleId="FollowedHyperlink">
    <w:name w:val="FollowedHyperlink"/>
    <w:basedOn w:val="DefaultParagraphFont"/>
    <w:uiPriority w:val="99"/>
    <w:semiHidden/>
    <w:unhideWhenUsed/>
    <w:rsid w:val="002F4442"/>
    <w:rPr>
      <w:color w:val="96607D" w:themeColor="followedHyperlink"/>
      <w:u w:val="single"/>
    </w:rPr>
  </w:style>
  <w:style w:type="character" w:styleId="CommentReference">
    <w:name w:val="annotation reference"/>
    <w:basedOn w:val="DefaultParagraphFont"/>
    <w:uiPriority w:val="99"/>
    <w:semiHidden/>
    <w:unhideWhenUsed/>
    <w:rsid w:val="00656B1A"/>
    <w:rPr>
      <w:sz w:val="16"/>
      <w:szCs w:val="16"/>
    </w:rPr>
  </w:style>
  <w:style w:type="paragraph" w:styleId="CommentText">
    <w:name w:val="annotation text"/>
    <w:basedOn w:val="Normal"/>
    <w:link w:val="CommentTextChar"/>
    <w:uiPriority w:val="99"/>
    <w:unhideWhenUsed/>
    <w:rsid w:val="00656B1A"/>
    <w:pPr>
      <w:spacing w:line="240" w:lineRule="auto"/>
    </w:pPr>
    <w:rPr>
      <w:sz w:val="20"/>
      <w:szCs w:val="20"/>
    </w:rPr>
  </w:style>
  <w:style w:type="character" w:customStyle="1" w:styleId="CommentTextChar">
    <w:name w:val="Comment Text Char"/>
    <w:basedOn w:val="DefaultParagraphFont"/>
    <w:link w:val="CommentText"/>
    <w:uiPriority w:val="99"/>
    <w:rsid w:val="00656B1A"/>
    <w:rPr>
      <w:sz w:val="20"/>
      <w:szCs w:val="20"/>
    </w:rPr>
  </w:style>
  <w:style w:type="paragraph" w:styleId="CommentSubject">
    <w:name w:val="annotation subject"/>
    <w:basedOn w:val="CommentText"/>
    <w:next w:val="CommentText"/>
    <w:link w:val="CommentSubjectChar"/>
    <w:uiPriority w:val="99"/>
    <w:semiHidden/>
    <w:unhideWhenUsed/>
    <w:rsid w:val="00656B1A"/>
    <w:rPr>
      <w:b/>
      <w:bCs/>
    </w:rPr>
  </w:style>
  <w:style w:type="character" w:customStyle="1" w:styleId="CommentSubjectChar">
    <w:name w:val="Comment Subject Char"/>
    <w:basedOn w:val="CommentTextChar"/>
    <w:link w:val="CommentSubject"/>
    <w:uiPriority w:val="99"/>
    <w:semiHidden/>
    <w:rsid w:val="00656B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io3@ofgem.gov.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xine.frerk@sustainabilityfirst.org.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tin.hurst@sustainabilityfirst.org.uk" TargetMode="External"/><Relationship Id="rId5" Type="http://schemas.openxmlformats.org/officeDocument/2006/relationships/styles" Target="styles.xml"/><Relationship Id="rId15" Type="http://schemas.openxmlformats.org/officeDocument/2006/relationships/hyperlink" Target="https://sustainabilityfirst.org.uk/publications/expert-viewpoints/nature-based-solutions-and-public-support-for-biodiversity-and-carbon-in-the-riio-3-context/"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sustainabilityfirst.org.uk/wp-content/uploads/2024/01/sf6_in_GB_networks_final_201123.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v.uk/guidance/how-to-operate-or-service-high-voltage-switchgear-containing-sf6" TargetMode="External"/><Relationship Id="rId3" Type="http://schemas.openxmlformats.org/officeDocument/2006/relationships/hyperlink" Target="https://sustainabilityfirst.org.uk/wp-content/uploads/2024/01/sf6_in_GB_networks_final_201123.pdf" TargetMode="External"/><Relationship Id="rId7" Type="http://schemas.openxmlformats.org/officeDocument/2006/relationships/hyperlink" Target="https://www.switchinggearsfornetzero.com/content/files/2024/06/SG4N0---F-gas-Regulation-manual-questions.pdf" TargetMode="External"/><Relationship Id="rId12" Type="http://schemas.openxmlformats.org/officeDocument/2006/relationships/hyperlink" Target="https://utilityweek.co.uk/where-did-all-that-power-go/" TargetMode="External"/><Relationship Id="rId2" Type="http://schemas.openxmlformats.org/officeDocument/2006/relationships/hyperlink" Target="https://ghgprotocol.org/sites/default/files/2024-08/Global-Warming-Potential-Values%20%28August%202024%29.pdf" TargetMode="External"/><Relationship Id="rId1" Type="http://schemas.openxmlformats.org/officeDocument/2006/relationships/hyperlink" Target="https://sustainabilityfirst.org.uk/blog/empowering-communities-as-we-decarbonise-our-energy-grid/" TargetMode="External"/><Relationship Id="rId6" Type="http://schemas.openxmlformats.org/officeDocument/2006/relationships/hyperlink" Target="https://climate.ec.europa.eu/document/download/cfe52d31-9203-435d-b043-62f74900fd96_en?filename=policy_f-gases_stakeholders_switchgear_faq_en.pdf" TargetMode="External"/><Relationship Id="rId11" Type="http://schemas.openxmlformats.org/officeDocument/2006/relationships/hyperlink" Target="https://www.neso.energy/document/46481/download" TargetMode="External"/><Relationship Id="rId5" Type="http://schemas.openxmlformats.org/officeDocument/2006/relationships/hyperlink" Target="https://sustainabilityfirst.org.uk/wp-content/uploads/2025/04/sf-cfe-et3-plans-100225.pdf" TargetMode="External"/><Relationship Id="rId10" Type="http://schemas.openxmlformats.org/officeDocument/2006/relationships/hyperlink" Target="https://www.neso.energy/data-portal/transmission-losses" TargetMode="External"/><Relationship Id="rId4" Type="http://schemas.openxmlformats.org/officeDocument/2006/relationships/hyperlink" Target="https://sustainabilityfirst.org.uk/wp-content/uploads/2022/02/Sustainability_First_-_Commentary_-_DNO_ED2_SF6_STRATEGIES_-_final09022.pdf" TargetMode="External"/><Relationship Id="rId9" Type="http://schemas.openxmlformats.org/officeDocument/2006/relationships/hyperlink" Target="https://sustainabilityfirst.org.uk/wp-content/uploads/2025/04/sf-cfe-et3-plans-10022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821DEC2D-6933-4BF0-AE7E-61A1F281B63F}">
  <ds:schemaRefs>
    <ds:schemaRef ds:uri="http://schemas.openxmlformats.org/officeDocument/2006/bibliography"/>
  </ds:schemaRefs>
</ds:datastoreItem>
</file>

<file path=customXml/itemProps2.xml><?xml version="1.0" encoding="utf-8"?>
<ds:datastoreItem xmlns:ds="http://schemas.openxmlformats.org/officeDocument/2006/customXml" ds:itemID="{CBE34A95-B09A-4129-ABA0-BB6D1F7EA096}"/>
</file>

<file path=customXml/itemProps3.xml><?xml version="1.0" encoding="utf-8"?>
<ds:datastoreItem xmlns:ds="http://schemas.openxmlformats.org/officeDocument/2006/customXml" ds:itemID="{F9379BEE-3B01-4BFC-9660-08F8C5EEF2CC}">
  <ds:schemaRefs>
    <ds:schemaRef ds:uri="http://schemas.microsoft.com/sharepoint/v3/contenttype/forms"/>
  </ds:schemaRefs>
</ds:datastoreItem>
</file>

<file path=customXml/itemProps4.xml><?xml version="1.0" encoding="utf-8"?>
<ds:datastoreItem xmlns:ds="http://schemas.openxmlformats.org/officeDocument/2006/customXml" ds:itemID="{A80A4CC3-5F0A-4DA5-9E08-51E10A74799E}">
  <ds:schemaRefs>
    <ds:schemaRef ds:uri="http://purl.org/dc/dcmitype/"/>
    <ds:schemaRef ds:uri="http://schemas.microsoft.com/office/infopath/2007/PartnerControls"/>
    <ds:schemaRef ds:uri="http://purl.org/dc/elements/1.1/"/>
    <ds:schemaRef ds:uri="http://schemas.microsoft.com/office/2006/documentManagement/types"/>
    <ds:schemaRef ds:uri="http://www.w3.org/XML/1998/namespace"/>
    <ds:schemaRef ds:uri="04a70ad0-7f60-4182-a334-da5308907268"/>
    <ds:schemaRef ds:uri="http://schemas.openxmlformats.org/package/2006/metadata/core-properties"/>
    <ds:schemaRef ds:uri="a345ddef-efb4-4139-916b-56d0eee0035c"/>
    <ds:schemaRef ds:uri="http://purl.org/dc/term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2709</Words>
  <Characters>15447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Maxine Frerk</dc:creator>
  <cp:keywords/>
  <dc:description/>
  <cp:lastModifiedBy>Martin Hurst</cp:lastModifiedBy>
  <cp:revision>2</cp:revision>
  <dcterms:created xsi:type="dcterms:W3CDTF">2025-08-22T18:02:00Z</dcterms:created>
  <dcterms:modified xsi:type="dcterms:W3CDTF">2025-08-22T18:02:00Z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